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1F24" w:rsidRDefault="00D91F24" w:rsidP="00D91F24">
      <w:pPr>
        <w:spacing w:line="32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</w:t>
      </w:r>
      <w:r>
        <w:rPr>
          <w:rFonts w:eastAsia="方正黑体_GBK"/>
          <w:szCs w:val="32"/>
        </w:rPr>
        <w:t>5</w:t>
      </w:r>
    </w:p>
    <w:p w:rsidR="00D91F24" w:rsidRDefault="00D91F24" w:rsidP="00D91F24">
      <w:pPr>
        <w:spacing w:beforeLines="50" w:before="156" w:afterLines="50" w:after="156" w:line="600" w:lineRule="exact"/>
        <w:jc w:val="center"/>
        <w:outlineLvl w:val="0"/>
        <w:rPr>
          <w:rFonts w:eastAsia="方正小标宋_GBK"/>
          <w:sz w:val="44"/>
        </w:rPr>
      </w:pPr>
      <w:bookmarkStart w:id="0" w:name="_GoBack"/>
      <w:r>
        <w:rPr>
          <w:rFonts w:eastAsia="方正小标宋_GBK"/>
          <w:sz w:val="44"/>
        </w:rPr>
        <w:t>2022</w:t>
      </w:r>
      <w:r>
        <w:rPr>
          <w:rFonts w:eastAsia="方正小标宋_GBK"/>
          <w:sz w:val="44"/>
        </w:rPr>
        <w:t>年用人单位职业卫生</w:t>
      </w:r>
      <w:r>
        <w:rPr>
          <w:rFonts w:eastAsia="方正小标宋_GBK"/>
          <w:sz w:val="44"/>
          <w:szCs w:val="44"/>
        </w:rPr>
        <w:t>省级</w:t>
      </w:r>
      <w:r>
        <w:rPr>
          <w:rFonts w:eastAsia="方正小标宋_GBK"/>
          <w:sz w:val="44"/>
        </w:rPr>
        <w:t>随机监督抽查计划表</w:t>
      </w:r>
      <w:bookmarkEnd w:id="0"/>
    </w:p>
    <w:tbl>
      <w:tblPr>
        <w:tblW w:w="4901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1245"/>
        <w:gridCol w:w="1842"/>
        <w:gridCol w:w="3118"/>
        <w:gridCol w:w="6410"/>
        <w:gridCol w:w="1278"/>
      </w:tblGrid>
      <w:tr w:rsidR="00D91F24" w:rsidTr="009E313C">
        <w:trPr>
          <w:trHeight w:val="691"/>
          <w:tblHeader/>
          <w:jc w:val="center"/>
        </w:trPr>
        <w:tc>
          <w:tcPr>
            <w:tcW w:w="4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监督检查对象</w:t>
            </w:r>
          </w:p>
        </w:tc>
        <w:tc>
          <w:tcPr>
            <w:tcW w:w="6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抽查任务</w:t>
            </w:r>
          </w:p>
        </w:tc>
        <w:tc>
          <w:tcPr>
            <w:tcW w:w="3429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重点检查内容</w:t>
            </w:r>
          </w:p>
        </w:tc>
        <w:tc>
          <w:tcPr>
            <w:tcW w:w="46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sz w:val="24"/>
              </w:rPr>
              <w:t>检查层级</w:t>
            </w: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用人单位</w:t>
            </w:r>
          </w:p>
        </w:tc>
        <w:tc>
          <w:tcPr>
            <w:tcW w:w="66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 w:hint="eastAsia"/>
                <w:sz w:val="24"/>
              </w:rPr>
            </w:pPr>
            <w:r>
              <w:rPr>
                <w:rFonts w:eastAsia="方正仿宋_GBK" w:hint="eastAsia"/>
                <w:b/>
                <w:sz w:val="24"/>
              </w:rPr>
              <w:t>抽查用人单位数量不低于</w:t>
            </w:r>
            <w:r>
              <w:rPr>
                <w:rFonts w:eastAsia="方正仿宋_GBK" w:hint="eastAsia"/>
                <w:b/>
                <w:sz w:val="24"/>
              </w:rPr>
              <w:t>2021</w:t>
            </w:r>
            <w:r>
              <w:rPr>
                <w:rFonts w:eastAsia="方正仿宋_GBK" w:hint="eastAsia"/>
                <w:b/>
                <w:sz w:val="24"/>
              </w:rPr>
              <w:t>年监督检查数量。其中建材和化工全覆盖。全省共</w:t>
            </w:r>
            <w:r>
              <w:rPr>
                <w:rFonts w:eastAsia="方正仿宋_GBK"/>
                <w:b/>
                <w:sz w:val="24"/>
              </w:rPr>
              <w:t>14460</w:t>
            </w:r>
            <w:r>
              <w:rPr>
                <w:rFonts w:eastAsia="方正仿宋_GBK" w:hint="eastAsia"/>
                <w:b/>
                <w:sz w:val="24"/>
              </w:rPr>
              <w:t>家，其中省本级</w:t>
            </w:r>
            <w:r>
              <w:rPr>
                <w:rFonts w:eastAsia="方正仿宋_GBK"/>
                <w:b/>
                <w:sz w:val="24"/>
              </w:rPr>
              <w:t>3</w:t>
            </w:r>
            <w:r>
              <w:rPr>
                <w:rFonts w:eastAsia="方正仿宋_GBK" w:hint="eastAsia"/>
                <w:b/>
                <w:sz w:val="24"/>
              </w:rPr>
              <w:t>0</w:t>
            </w:r>
            <w:r>
              <w:rPr>
                <w:rFonts w:eastAsia="方正仿宋_GBK" w:hint="eastAsia"/>
                <w:b/>
                <w:sz w:val="24"/>
              </w:rPr>
              <w:t>家、南京</w:t>
            </w:r>
            <w:r>
              <w:rPr>
                <w:rFonts w:eastAsia="方正仿宋_GBK"/>
                <w:b/>
                <w:sz w:val="24"/>
              </w:rPr>
              <w:t>1020</w:t>
            </w:r>
            <w:r>
              <w:rPr>
                <w:rFonts w:eastAsia="方正仿宋_GBK" w:hint="eastAsia"/>
                <w:b/>
                <w:sz w:val="24"/>
              </w:rPr>
              <w:t>家、无锡</w:t>
            </w:r>
            <w:r>
              <w:rPr>
                <w:rFonts w:eastAsia="方正仿宋_GBK"/>
                <w:b/>
                <w:sz w:val="24"/>
              </w:rPr>
              <w:t>1940</w:t>
            </w:r>
            <w:r>
              <w:rPr>
                <w:rFonts w:eastAsia="方正仿宋_GBK" w:hint="eastAsia"/>
                <w:b/>
                <w:sz w:val="24"/>
              </w:rPr>
              <w:t>家、徐州</w:t>
            </w:r>
            <w:r>
              <w:rPr>
                <w:rFonts w:eastAsia="方正仿宋_GBK"/>
                <w:b/>
                <w:sz w:val="24"/>
              </w:rPr>
              <w:t>2830</w:t>
            </w:r>
            <w:r>
              <w:rPr>
                <w:rFonts w:eastAsia="方正仿宋_GBK" w:hint="eastAsia"/>
                <w:b/>
                <w:sz w:val="24"/>
              </w:rPr>
              <w:t>家、常州</w:t>
            </w:r>
            <w:r>
              <w:rPr>
                <w:rFonts w:eastAsia="方正仿宋_GBK"/>
                <w:b/>
                <w:sz w:val="24"/>
              </w:rPr>
              <w:t>1270</w:t>
            </w:r>
            <w:r>
              <w:rPr>
                <w:rFonts w:eastAsia="方正仿宋_GBK" w:hint="eastAsia"/>
                <w:b/>
                <w:sz w:val="24"/>
              </w:rPr>
              <w:t>家、苏州</w:t>
            </w:r>
            <w:r>
              <w:rPr>
                <w:rFonts w:eastAsia="方正仿宋_GBK"/>
                <w:b/>
                <w:sz w:val="24"/>
              </w:rPr>
              <w:t>1600</w:t>
            </w:r>
            <w:r>
              <w:rPr>
                <w:rFonts w:eastAsia="方正仿宋_GBK" w:hint="eastAsia"/>
                <w:b/>
                <w:sz w:val="24"/>
              </w:rPr>
              <w:t>家、南通</w:t>
            </w:r>
            <w:r>
              <w:rPr>
                <w:rFonts w:eastAsia="方正仿宋_GBK"/>
                <w:b/>
                <w:sz w:val="24"/>
              </w:rPr>
              <w:t>750</w:t>
            </w:r>
            <w:r>
              <w:rPr>
                <w:rFonts w:eastAsia="方正仿宋_GBK" w:hint="eastAsia"/>
                <w:b/>
                <w:sz w:val="24"/>
              </w:rPr>
              <w:t>家、连云港</w:t>
            </w:r>
            <w:r>
              <w:rPr>
                <w:rFonts w:eastAsia="方正仿宋_GBK"/>
                <w:b/>
                <w:sz w:val="24"/>
              </w:rPr>
              <w:t>530</w:t>
            </w:r>
            <w:r>
              <w:rPr>
                <w:rFonts w:eastAsia="方正仿宋_GBK" w:hint="eastAsia"/>
                <w:b/>
                <w:sz w:val="24"/>
              </w:rPr>
              <w:t>家、淮安</w:t>
            </w:r>
            <w:r>
              <w:rPr>
                <w:rFonts w:eastAsia="方正仿宋_GBK"/>
                <w:b/>
                <w:sz w:val="24"/>
              </w:rPr>
              <w:t>560</w:t>
            </w:r>
            <w:r>
              <w:rPr>
                <w:rFonts w:eastAsia="方正仿宋_GBK" w:hint="eastAsia"/>
                <w:b/>
                <w:sz w:val="24"/>
              </w:rPr>
              <w:t>家、盐城</w:t>
            </w:r>
            <w:r>
              <w:rPr>
                <w:rFonts w:eastAsia="方正仿宋_GBK"/>
                <w:b/>
                <w:sz w:val="24"/>
              </w:rPr>
              <w:t>920</w:t>
            </w:r>
            <w:r>
              <w:rPr>
                <w:rFonts w:eastAsia="方正仿宋_GBK" w:hint="eastAsia"/>
                <w:b/>
                <w:sz w:val="24"/>
              </w:rPr>
              <w:t>家、扬州</w:t>
            </w:r>
            <w:r>
              <w:rPr>
                <w:rFonts w:eastAsia="方正仿宋_GBK"/>
                <w:b/>
                <w:sz w:val="24"/>
              </w:rPr>
              <w:t>640</w:t>
            </w:r>
            <w:r>
              <w:rPr>
                <w:rFonts w:eastAsia="方正仿宋_GBK" w:hint="eastAsia"/>
                <w:b/>
                <w:sz w:val="24"/>
              </w:rPr>
              <w:t>家、镇江</w:t>
            </w:r>
            <w:r>
              <w:rPr>
                <w:rFonts w:eastAsia="方正仿宋_GBK"/>
                <w:b/>
                <w:sz w:val="24"/>
              </w:rPr>
              <w:t>350</w:t>
            </w:r>
            <w:r>
              <w:rPr>
                <w:rFonts w:eastAsia="方正仿宋_GBK" w:hint="eastAsia"/>
                <w:b/>
                <w:sz w:val="24"/>
              </w:rPr>
              <w:t>家、泰州</w:t>
            </w:r>
            <w:r>
              <w:rPr>
                <w:rFonts w:eastAsia="方正仿宋_GBK"/>
                <w:b/>
                <w:sz w:val="24"/>
              </w:rPr>
              <w:t>1120</w:t>
            </w:r>
            <w:r>
              <w:rPr>
                <w:rFonts w:eastAsia="方正仿宋_GBK" w:hint="eastAsia"/>
                <w:b/>
                <w:sz w:val="24"/>
              </w:rPr>
              <w:t>家、宿迁</w:t>
            </w:r>
            <w:r>
              <w:rPr>
                <w:rFonts w:eastAsia="方正仿宋_GBK"/>
                <w:b/>
                <w:sz w:val="24"/>
              </w:rPr>
              <w:t>900</w:t>
            </w:r>
            <w:r>
              <w:rPr>
                <w:rFonts w:eastAsia="方正仿宋_GBK" w:hint="eastAsia"/>
                <w:b/>
                <w:sz w:val="24"/>
              </w:rPr>
              <w:t>家</w:t>
            </w:r>
          </w:p>
        </w:tc>
        <w:tc>
          <w:tcPr>
            <w:tcW w:w="1122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职业病防治管理组织和措施</w:t>
            </w:r>
          </w:p>
        </w:tc>
        <w:tc>
          <w:tcPr>
            <w:tcW w:w="2307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是否按规定设置或者指定职业卫生管理机构或者组织，配备专职或者兼职的职业卫生管理人员；</w:t>
            </w:r>
          </w:p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是否建立、落实及公布职业卫生管理制度和操作规程。</w:t>
            </w:r>
          </w:p>
        </w:tc>
        <w:tc>
          <w:tcPr>
            <w:tcW w:w="46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rPr>
                <w:rFonts w:eastAsia="方正仿宋_GBK"/>
                <w:sz w:val="24"/>
              </w:rPr>
            </w:pPr>
            <w:r>
              <w:rPr>
                <w:rFonts w:eastAsia="方正仿宋_GBK" w:hint="eastAsia"/>
                <w:sz w:val="24"/>
              </w:rPr>
              <w:t>省市县级</w:t>
            </w: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职业卫生培训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主要负责人、职业卫生管理人员和劳动者是否按规定的周期接受职业卫生培训，培训内容、时间是否符合要求。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3.</w:t>
            </w:r>
            <w:r>
              <w:rPr>
                <w:rFonts w:eastAsia="方正仿宋_GBK"/>
                <w:sz w:val="24"/>
              </w:rPr>
              <w:t>建设项目职业病防护设施</w:t>
            </w:r>
            <w:r>
              <w:rPr>
                <w:rFonts w:eastAsia="方正仿宋_GBK"/>
                <w:sz w:val="24"/>
              </w:rPr>
              <w:t>“</w:t>
            </w:r>
            <w:r>
              <w:rPr>
                <w:rFonts w:eastAsia="方正仿宋_GBK"/>
                <w:sz w:val="24"/>
              </w:rPr>
              <w:t>三同时</w:t>
            </w:r>
            <w:r>
              <w:rPr>
                <w:rFonts w:eastAsia="方正仿宋_GBK"/>
                <w:sz w:val="24"/>
              </w:rPr>
              <w:t>”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是否落实建设项目职业病防护设施</w:t>
            </w:r>
            <w:r>
              <w:rPr>
                <w:rFonts w:eastAsia="方正仿宋_GBK"/>
                <w:sz w:val="24"/>
              </w:rPr>
              <w:t>“</w:t>
            </w:r>
            <w:r>
              <w:rPr>
                <w:rFonts w:eastAsia="方正仿宋_GBK"/>
                <w:sz w:val="24"/>
              </w:rPr>
              <w:t>三同时</w:t>
            </w:r>
            <w:r>
              <w:rPr>
                <w:rFonts w:eastAsia="方正仿宋_GBK"/>
                <w:sz w:val="24"/>
              </w:rPr>
              <w:t>”</w:t>
            </w:r>
            <w:r>
              <w:rPr>
                <w:rFonts w:eastAsia="方正仿宋_GBK"/>
                <w:sz w:val="24"/>
              </w:rPr>
              <w:t>制度，是否按程序开展评审及存档、公示。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b/>
                <w:sz w:val="24"/>
              </w:rPr>
            </w:pPr>
            <w:r>
              <w:rPr>
                <w:rFonts w:eastAsia="方正仿宋_GBK"/>
                <w:b/>
                <w:sz w:val="24"/>
              </w:rPr>
              <w:t>*4.</w:t>
            </w:r>
            <w:r>
              <w:rPr>
                <w:rFonts w:eastAsia="方正仿宋_GBK"/>
                <w:b/>
                <w:sz w:val="24"/>
              </w:rPr>
              <w:t>职业病危害项目申报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是否如实、及时开展工作场所职业病危害项目申报。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5.</w:t>
            </w:r>
            <w:r>
              <w:rPr>
                <w:rFonts w:eastAsia="方正仿宋_GBK"/>
                <w:sz w:val="24"/>
              </w:rPr>
              <w:t>工作场所职业卫生管理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是否按规定开展工作场所职业病危害因素监测、检测、评价，是否进行检测结果的报告和公布；</w:t>
            </w:r>
          </w:p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是否按规定配置职业病防护设施、应急救援设施并及时维护、保养，是否按规定发放、管理职业病防护用品并督促劳动者佩戴使用。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6.</w:t>
            </w:r>
            <w:r>
              <w:rPr>
                <w:rFonts w:eastAsia="方正仿宋_GBK"/>
                <w:sz w:val="24"/>
              </w:rPr>
              <w:t>职业病危害警示和告知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是否按规定设置职业病危害警示标识，告知职业病危害及危害后果。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7.</w:t>
            </w:r>
            <w:r>
              <w:rPr>
                <w:rFonts w:eastAsia="方正仿宋_GBK"/>
                <w:sz w:val="24"/>
              </w:rPr>
              <w:t>劳动者职业健康监护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是否按规定开展劳动者职业健康监护、放射工作人员个人剂量监测。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D91F24" w:rsidTr="009E313C">
        <w:trPr>
          <w:trHeight w:val="20"/>
          <w:tblHeader/>
          <w:jc w:val="center"/>
        </w:trPr>
        <w:tc>
          <w:tcPr>
            <w:tcW w:w="448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66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22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8.</w:t>
            </w:r>
            <w:r>
              <w:rPr>
                <w:rFonts w:eastAsia="方正仿宋_GBK"/>
                <w:sz w:val="24"/>
              </w:rPr>
              <w:t>职业病病人和疑似职业病病人处置</w:t>
            </w:r>
          </w:p>
        </w:tc>
        <w:tc>
          <w:tcPr>
            <w:tcW w:w="230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1.</w:t>
            </w:r>
            <w:r>
              <w:rPr>
                <w:rFonts w:eastAsia="方正仿宋_GBK"/>
                <w:sz w:val="24"/>
              </w:rPr>
              <w:t>是否按规定处置职业病人、疑似职业病人；</w:t>
            </w:r>
          </w:p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2.</w:t>
            </w:r>
            <w:r>
              <w:rPr>
                <w:rFonts w:eastAsia="方正仿宋_GBK"/>
                <w:sz w:val="24"/>
              </w:rPr>
              <w:t>是否为劳动者进行职业病诊断提供健康损害与职业史、职业病危害接触关系等相关资料。</w:t>
            </w:r>
          </w:p>
        </w:tc>
        <w:tc>
          <w:tcPr>
            <w:tcW w:w="46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91F24" w:rsidRDefault="00D91F24" w:rsidP="009E313C">
            <w:pPr>
              <w:tabs>
                <w:tab w:val="left" w:pos="6660"/>
              </w:tabs>
              <w:spacing w:line="280" w:lineRule="exact"/>
              <w:jc w:val="left"/>
              <w:rPr>
                <w:rFonts w:eastAsia="方正仿宋_GBK"/>
                <w:sz w:val="24"/>
              </w:rPr>
            </w:pPr>
          </w:p>
        </w:tc>
      </w:tr>
    </w:tbl>
    <w:p w:rsidR="00D91F24" w:rsidRDefault="00D91F24" w:rsidP="00D91F24">
      <w:pPr>
        <w:spacing w:line="320" w:lineRule="exact"/>
        <w:jc w:val="left"/>
        <w:rPr>
          <w:rFonts w:ascii="方正仿宋_GBK" w:eastAsia="方正仿宋_GBK" w:hAnsi="黑体"/>
          <w:b/>
          <w:sz w:val="24"/>
        </w:rPr>
      </w:pPr>
      <w:r>
        <w:rPr>
          <w:rFonts w:ascii="方正仿宋_GBK" w:eastAsia="方正仿宋_GBK" w:hAnsi="黑体" w:hint="eastAsia"/>
          <w:b/>
          <w:sz w:val="24"/>
        </w:rPr>
        <w:t>注：重点检查项目中的“4.职业病危害项目申报”是必查项</w:t>
      </w:r>
    </w:p>
    <w:p w:rsidR="00152142" w:rsidRPr="00D91F24" w:rsidRDefault="00152142"/>
    <w:sectPr w:rsidR="00152142" w:rsidRPr="00D91F24" w:rsidSect="00D91F2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1F24"/>
    <w:rsid w:val="00152142"/>
    <w:rsid w:val="00D9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F24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1F24"/>
    <w:pPr>
      <w:widowControl w:val="0"/>
      <w:jc w:val="both"/>
    </w:pPr>
    <w:rPr>
      <w:rFonts w:ascii="Times New Roman" w:eastAsia="仿宋_GB2312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684</Characters>
  <Application>Microsoft Office Word</Application>
  <DocSecurity>0</DocSecurity>
  <Lines>5</Lines>
  <Paragraphs>1</Paragraphs>
  <ScaleCrop>false</ScaleCrop>
  <Company>china</Company>
  <LinksUpToDate>false</LinksUpToDate>
  <CharactersWithSpaces>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2022-07-13T02:10:00Z</dcterms:created>
  <dcterms:modified xsi:type="dcterms:W3CDTF">2022-07-13T02:10:00Z</dcterms:modified>
</cp:coreProperties>
</file>