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EB" w:rsidRDefault="007626EB" w:rsidP="007626EB">
      <w:pPr>
        <w:spacing w:beforeLines="50" w:before="156" w:line="600" w:lineRule="exact"/>
        <w:jc w:val="center"/>
        <w:rPr>
          <w:rFonts w:ascii="方正小标宋_GBK" w:eastAsia="方正小标宋_GBK" w:hint="eastAsia"/>
          <w:sz w:val="36"/>
          <w:szCs w:val="36"/>
        </w:rPr>
      </w:pPr>
      <w:bookmarkStart w:id="0" w:name="_GoBack"/>
      <w:r w:rsidRPr="00FB4BF0">
        <w:rPr>
          <w:rFonts w:ascii="方正小标宋_GBK" w:eastAsia="方正小标宋_GBK" w:hint="eastAsia"/>
          <w:sz w:val="36"/>
          <w:szCs w:val="36"/>
        </w:rPr>
        <w:t>互联网医疗服务负面清单（2019年版）</w:t>
      </w:r>
      <w:bookmarkEnd w:id="0"/>
    </w:p>
    <w:p w:rsidR="007626EB" w:rsidRPr="00FB4BF0" w:rsidRDefault="007626EB" w:rsidP="007626EB">
      <w:pPr>
        <w:spacing w:line="600" w:lineRule="exact"/>
        <w:jc w:val="center"/>
        <w:rPr>
          <w:rFonts w:ascii="方正小标宋_GBK" w:eastAsia="方正小标宋_GBK" w:hint="eastAsia"/>
          <w:sz w:val="36"/>
          <w:szCs w:val="36"/>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1128"/>
        <w:gridCol w:w="6520"/>
      </w:tblGrid>
      <w:tr w:rsidR="007626EB" w:rsidRPr="00FB4BF0" w:rsidTr="0025713F">
        <w:trPr>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jc w:val="center"/>
              <w:rPr>
                <w:rFonts w:ascii="方正黑体_GBK" w:eastAsia="方正黑体_GBK" w:hAnsi="Calibri" w:cs="方正仿宋_GBK" w:hint="eastAsia"/>
                <w:sz w:val="30"/>
                <w:szCs w:val="30"/>
              </w:rPr>
            </w:pPr>
            <w:r w:rsidRPr="00FB4BF0">
              <w:rPr>
                <w:rFonts w:ascii="方正黑体_GBK" w:eastAsia="方正黑体_GBK" w:hAnsi="Calibri" w:cs="方正仿宋_GBK" w:hint="eastAsia"/>
                <w:sz w:val="30"/>
                <w:szCs w:val="30"/>
              </w:rPr>
              <w:t>序号</w:t>
            </w:r>
          </w:p>
        </w:tc>
        <w:tc>
          <w:tcPr>
            <w:tcW w:w="1128"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jc w:val="center"/>
              <w:rPr>
                <w:rFonts w:ascii="方正黑体_GBK" w:eastAsia="方正黑体_GBK" w:hAnsi="Calibri" w:cs="方正仿宋_GBK" w:hint="eastAsia"/>
                <w:sz w:val="30"/>
                <w:szCs w:val="30"/>
              </w:rPr>
            </w:pPr>
            <w:r w:rsidRPr="00FB4BF0">
              <w:rPr>
                <w:rFonts w:ascii="方正黑体_GBK" w:eastAsia="方正黑体_GBK" w:hAnsi="Calibri" w:cs="方正仿宋_GBK" w:hint="eastAsia"/>
                <w:sz w:val="30"/>
                <w:szCs w:val="30"/>
              </w:rPr>
              <w:t>项目</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jc w:val="center"/>
              <w:rPr>
                <w:rFonts w:ascii="方正黑体_GBK" w:eastAsia="方正黑体_GBK" w:hAnsi="Calibri" w:cs="方正仿宋_GBK" w:hint="eastAsia"/>
                <w:sz w:val="30"/>
                <w:szCs w:val="30"/>
              </w:rPr>
            </w:pPr>
            <w:r w:rsidRPr="00FB4BF0">
              <w:rPr>
                <w:rFonts w:ascii="方正黑体_GBK" w:eastAsia="方正黑体_GBK" w:hAnsi="Calibri" w:cs="方正仿宋_GBK" w:hint="eastAsia"/>
                <w:sz w:val="30"/>
                <w:szCs w:val="30"/>
              </w:rPr>
              <w:t>管理措施</w:t>
            </w:r>
          </w:p>
        </w:tc>
      </w:tr>
      <w:tr w:rsidR="007626EB" w:rsidRPr="00FB4BF0" w:rsidTr="0025713F">
        <w:trPr>
          <w:trHeight w:val="5184"/>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proofErr w:type="gramStart"/>
            <w:r w:rsidRPr="00FB4BF0">
              <w:rPr>
                <w:rFonts w:ascii="方正仿宋_GBK" w:eastAsia="方正仿宋_GBK" w:hAnsi="Calibri" w:cs="方正仿宋_GBK" w:hint="eastAsia"/>
                <w:sz w:val="30"/>
                <w:szCs w:val="30"/>
              </w:rPr>
              <w:t>一</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7626EB"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服务</w:t>
            </w:r>
          </w:p>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机构</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 未依托实体医疗机构的互联网医院开展医疗服务；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2. 未取得依托的实体医疗机构执业登记机关批准注册的互联网医院开展医疗服务；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3. 使用未经核准的互联网医院名称开展医疗服务；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4. 未接入</w:t>
            </w:r>
            <w:r w:rsidRPr="00FB4BF0">
              <w:rPr>
                <w:rFonts w:ascii="方正仿宋_GBK" w:eastAsia="方正仿宋_GBK" w:hAnsi="宋体" w:cs="方正仿宋_GBK" w:hint="eastAsia"/>
                <w:kern w:val="0"/>
                <w:sz w:val="30"/>
                <w:szCs w:val="30"/>
                <w:shd w:val="clear" w:color="auto" w:fill="FFFFFF"/>
              </w:rPr>
              <w:t>“江苏省互联网医疗服务监管系统”</w:t>
            </w:r>
            <w:r w:rsidRPr="00FB4BF0">
              <w:rPr>
                <w:rFonts w:ascii="方正仿宋_GBK" w:eastAsia="方正仿宋_GBK" w:hAnsi="Calibri" w:cs="方正仿宋_GBK" w:hint="eastAsia"/>
                <w:sz w:val="30"/>
                <w:szCs w:val="30"/>
              </w:rPr>
              <w:t>的互联网医院开展医疗服务；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5. 诊疗科目超出所依托的实体医疗机构登记的诊疗科目范围。</w:t>
            </w:r>
          </w:p>
        </w:tc>
      </w:tr>
      <w:tr w:rsidR="007626EB" w:rsidRPr="00FB4BF0" w:rsidTr="0025713F">
        <w:trPr>
          <w:trHeight w:hRule="exact" w:val="4536"/>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二</w:t>
            </w:r>
          </w:p>
        </w:tc>
        <w:tc>
          <w:tcPr>
            <w:tcW w:w="1128" w:type="dxa"/>
            <w:tcBorders>
              <w:top w:val="single" w:sz="4" w:space="0" w:color="auto"/>
              <w:left w:val="single" w:sz="4" w:space="0" w:color="auto"/>
              <w:bottom w:val="single" w:sz="4" w:space="0" w:color="auto"/>
              <w:right w:val="single" w:sz="4" w:space="0" w:color="auto"/>
            </w:tcBorders>
            <w:vAlign w:val="center"/>
          </w:tcPr>
          <w:p w:rsidR="007626EB"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医务</w:t>
            </w:r>
          </w:p>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人员</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6. 未在实体医疗机构具有3年以上独立临床工作经验的医师开展医疗服务；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7. 未在国家医师、护士电子注册系统中注册的医务人员开展医疗服务；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8. 未进行电子实名认证的医务人员开展医疗服务；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9.未在互联网医院注册的医师开展医疗服务；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10.医务人员开展超出其执业范围的服务项目；</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11.非卫生技术人员在互联网医院开展医疗服务。</w:t>
            </w:r>
          </w:p>
        </w:tc>
      </w:tr>
      <w:tr w:rsidR="007626EB" w:rsidRPr="00FB4BF0" w:rsidTr="0025713F">
        <w:trPr>
          <w:trHeight w:hRule="exact" w:val="4253"/>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lastRenderedPageBreak/>
              <w:t>三</w:t>
            </w:r>
          </w:p>
        </w:tc>
        <w:tc>
          <w:tcPr>
            <w:tcW w:w="1128" w:type="dxa"/>
            <w:tcBorders>
              <w:top w:val="single" w:sz="4" w:space="0" w:color="auto"/>
              <w:left w:val="single" w:sz="4" w:space="0" w:color="auto"/>
              <w:bottom w:val="single" w:sz="4" w:space="0" w:color="auto"/>
              <w:right w:val="single" w:sz="4" w:space="0" w:color="auto"/>
            </w:tcBorders>
            <w:vAlign w:val="center"/>
          </w:tcPr>
          <w:p w:rsidR="007626EB"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服务</w:t>
            </w:r>
          </w:p>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对象</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12.为首</w:t>
            </w:r>
            <w:proofErr w:type="gramStart"/>
            <w:r w:rsidRPr="00FB4BF0">
              <w:rPr>
                <w:rFonts w:ascii="方正仿宋_GBK" w:eastAsia="方正仿宋_GBK" w:hAnsi="Calibri" w:cs="方正仿宋_GBK" w:hint="eastAsia"/>
                <w:sz w:val="30"/>
                <w:szCs w:val="30"/>
              </w:rPr>
              <w:t>诊</w:t>
            </w:r>
            <w:proofErr w:type="gramEnd"/>
            <w:r w:rsidRPr="00FB4BF0">
              <w:rPr>
                <w:rFonts w:ascii="方正仿宋_GBK" w:eastAsia="方正仿宋_GBK" w:hAnsi="Calibri" w:cs="方正仿宋_GBK" w:hint="eastAsia"/>
                <w:sz w:val="30"/>
                <w:szCs w:val="30"/>
              </w:rPr>
              <w:t>患者提供医疗服务；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13.为不具备完全民事行为能力且无监护人或</w:t>
            </w:r>
            <w:r w:rsidRPr="00FB4BF0">
              <w:rPr>
                <w:rFonts w:ascii="方正仿宋_GBK" w:eastAsia="方正仿宋_GBK" w:hint="eastAsia"/>
                <w:sz w:val="30"/>
                <w:szCs w:val="30"/>
              </w:rPr>
              <w:t>相关专业医师陪伴</w:t>
            </w:r>
            <w:r w:rsidRPr="00FB4BF0">
              <w:rPr>
                <w:rFonts w:ascii="方正仿宋_GBK" w:eastAsia="方正仿宋_GBK" w:hAnsi="Calibri" w:cs="方正仿宋_GBK" w:hint="eastAsia"/>
                <w:sz w:val="30"/>
                <w:szCs w:val="30"/>
              </w:rPr>
              <w:t>的患者提供医疗服务；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14.为甲类传染病患者（含参照甲类传染病管理）提供医疗服务；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15.为危急重症患者提供医疗服务；</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16.为需要前往实体医疗机构进行体格检查或医疗仪器设备辅助诊断的患者提供医疗服务。</w:t>
            </w:r>
          </w:p>
        </w:tc>
      </w:tr>
      <w:tr w:rsidR="007626EB" w:rsidRPr="00FB4BF0" w:rsidTr="0025713F">
        <w:trPr>
          <w:trHeight w:hRule="exact" w:val="4536"/>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四</w:t>
            </w:r>
          </w:p>
        </w:tc>
        <w:tc>
          <w:tcPr>
            <w:tcW w:w="1128"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处方和药品</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17.未获得执业医师和药师的电子签名的处方生效；</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18.在互联网上开具麻醉药品、精神类药品处方以及其他用药风险较高、有其他特殊管理规定的药品处方；</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19.为不具备完全民事行为能力且无监护人或相关专业医</w:t>
            </w:r>
            <w:r>
              <w:rPr>
                <w:rFonts w:ascii="方正仿宋_GBK" w:eastAsia="方正仿宋_GBK" w:hAnsi="Calibri" w:cs="方正仿宋_GBK" w:hint="eastAsia"/>
                <w:sz w:val="30"/>
                <w:szCs w:val="30"/>
              </w:rPr>
              <w:t>师</w:t>
            </w:r>
            <w:r w:rsidRPr="00FB4BF0">
              <w:rPr>
                <w:rFonts w:ascii="方正仿宋_GBK" w:eastAsia="方正仿宋_GBK" w:hAnsi="Calibri" w:cs="方正仿宋_GBK" w:hint="eastAsia"/>
                <w:sz w:val="30"/>
                <w:szCs w:val="30"/>
              </w:rPr>
              <w:t>陪伴的患者开具处方；</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20.通过未取得资质的第三方机构开展药品配送服务。</w:t>
            </w:r>
          </w:p>
        </w:tc>
      </w:tr>
      <w:tr w:rsidR="007626EB" w:rsidRPr="00FB4BF0" w:rsidTr="0025713F">
        <w:trPr>
          <w:trHeight w:hRule="exact" w:val="2268"/>
          <w:jc w:val="center"/>
        </w:trPr>
        <w:tc>
          <w:tcPr>
            <w:tcW w:w="965"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五</w:t>
            </w:r>
          </w:p>
        </w:tc>
        <w:tc>
          <w:tcPr>
            <w:tcW w:w="1128"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jc w:val="center"/>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信息安全</w:t>
            </w:r>
          </w:p>
        </w:tc>
        <w:tc>
          <w:tcPr>
            <w:tcW w:w="6520" w:type="dxa"/>
            <w:tcBorders>
              <w:top w:val="single" w:sz="4" w:space="0" w:color="auto"/>
              <w:left w:val="single" w:sz="4" w:space="0" w:color="auto"/>
              <w:bottom w:val="single" w:sz="4" w:space="0" w:color="auto"/>
              <w:right w:val="single" w:sz="4" w:space="0" w:color="auto"/>
            </w:tcBorders>
            <w:vAlign w:val="center"/>
          </w:tcPr>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21.非法买卖、泄露患者信息；</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22.将存储医疗数据的服务器存放在境外；</w:t>
            </w:r>
          </w:p>
          <w:p w:rsidR="007626EB" w:rsidRPr="00FB4BF0" w:rsidRDefault="007626EB" w:rsidP="0025713F">
            <w:pPr>
              <w:spacing w:line="480" w:lineRule="exact"/>
              <w:rPr>
                <w:rFonts w:ascii="方正仿宋_GBK" w:eastAsia="方正仿宋_GBK" w:hAnsi="Calibri" w:cs="方正仿宋_GBK" w:hint="eastAsia"/>
                <w:sz w:val="30"/>
                <w:szCs w:val="30"/>
              </w:rPr>
            </w:pPr>
            <w:r w:rsidRPr="00FB4BF0">
              <w:rPr>
                <w:rFonts w:ascii="方正仿宋_GBK" w:eastAsia="方正仿宋_GBK" w:hAnsi="Calibri" w:cs="方正仿宋_GBK" w:hint="eastAsia"/>
                <w:sz w:val="30"/>
                <w:szCs w:val="30"/>
              </w:rPr>
              <w:t>23.互联网医院信息系统实施低于第三级信息安全等级保护。</w:t>
            </w:r>
          </w:p>
        </w:tc>
      </w:tr>
    </w:tbl>
    <w:p w:rsidR="007626EB" w:rsidRPr="00FB4BF0" w:rsidRDefault="007626EB" w:rsidP="007626EB">
      <w:pPr>
        <w:spacing w:line="560" w:lineRule="exact"/>
        <w:rPr>
          <w:rFonts w:ascii="方正仿宋_GBK" w:eastAsia="方正仿宋_GBK" w:hAnsi="微软雅黑" w:cs="微软雅黑"/>
          <w:sz w:val="30"/>
          <w:szCs w:val="30"/>
        </w:rPr>
      </w:pPr>
      <w:r w:rsidRPr="00FB4BF0">
        <w:rPr>
          <w:rFonts w:ascii="方正仿宋_GBK" w:eastAsia="方正仿宋_GBK" w:hAnsi="微软雅黑" w:cs="微软雅黑" w:hint="eastAsia"/>
          <w:sz w:val="30"/>
          <w:szCs w:val="30"/>
        </w:rPr>
        <w:t>注：以上所列事项属于互联网医疗服务禁止内容或不得低于的标准，如违反则属“负面”行为，应当受到相应处理。</w:t>
      </w:r>
    </w:p>
    <w:p w:rsidR="0069434A" w:rsidRPr="007626EB" w:rsidRDefault="0069434A"/>
    <w:sectPr w:rsidR="0069434A" w:rsidRPr="00762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B"/>
    <w:rsid w:val="0069434A"/>
    <w:rsid w:val="0076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Company>china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2020-01-06T06:16:00Z</dcterms:created>
  <dcterms:modified xsi:type="dcterms:W3CDTF">2020-01-06T06:16:00Z</dcterms:modified>
</cp:coreProperties>
</file>