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7EA" w:rsidRDefault="002807EA" w:rsidP="002807EA">
      <w:pPr>
        <w:spacing w:line="600" w:lineRule="exact"/>
        <w:jc w:val="left"/>
        <w:rPr>
          <w:rStyle w:val="fontstyle01"/>
          <w:rFonts w:ascii="Times New Roman" w:eastAsia="黑体" w:hAnsi="Times New Roman" w:cs="Times New Roman" w:hint="default"/>
        </w:rPr>
      </w:pPr>
      <w:r>
        <w:rPr>
          <w:rStyle w:val="fontstyle01"/>
          <w:rFonts w:ascii="Times New Roman" w:eastAsia="黑体" w:hAnsi="Times New Roman" w:cs="Times New Roman" w:hint="default"/>
        </w:rPr>
        <w:t>附件</w:t>
      </w:r>
      <w:r>
        <w:rPr>
          <w:rStyle w:val="fontstyle01"/>
          <w:rFonts w:ascii="Times New Roman" w:eastAsia="黑体" w:hAnsi="Times New Roman" w:cs="Times New Roman" w:hint="default"/>
        </w:rPr>
        <w:t xml:space="preserve"> 2</w:t>
      </w:r>
    </w:p>
    <w:p w:rsidR="002807EA" w:rsidRDefault="002807EA" w:rsidP="002807EA">
      <w:pPr>
        <w:spacing w:line="600" w:lineRule="exact"/>
        <w:jc w:val="left"/>
        <w:rPr>
          <w:rStyle w:val="fontstyle01"/>
          <w:rFonts w:ascii="Times New Roman" w:eastAsia="黑体" w:hAnsi="Times New Roman" w:cs="Times New Roman" w:hint="default"/>
        </w:rPr>
      </w:pPr>
    </w:p>
    <w:p w:rsidR="002807EA" w:rsidRDefault="002807EA" w:rsidP="002807EA">
      <w:pPr>
        <w:spacing w:line="600" w:lineRule="exact"/>
        <w:ind w:firstLine="672"/>
        <w:jc w:val="left"/>
        <w:rPr>
          <w:rFonts w:ascii="Times New Roman" w:eastAsia="方正小标宋_GBK" w:hAnsi="Times New Roman" w:cs="Times New Roman"/>
          <w:bCs/>
          <w:sz w:val="40"/>
          <w:szCs w:val="40"/>
        </w:rPr>
      </w:pPr>
      <w:bookmarkStart w:id="0" w:name="_GoBack"/>
      <w:r>
        <w:rPr>
          <w:rFonts w:ascii="Times New Roman" w:eastAsia="方正小标宋_GBK" w:hAnsi="Times New Roman" w:cs="Times New Roman"/>
          <w:bCs/>
          <w:sz w:val="40"/>
          <w:szCs w:val="40"/>
        </w:rPr>
        <w:t>江苏省麻风诊治定点医疗机构职责及名单</w:t>
      </w:r>
    </w:p>
    <w:bookmarkEnd w:id="0"/>
    <w:p w:rsidR="002807EA" w:rsidRDefault="002807EA" w:rsidP="002807EA">
      <w:pPr>
        <w:spacing w:line="600" w:lineRule="exact"/>
        <w:ind w:firstLine="672"/>
        <w:jc w:val="left"/>
        <w:rPr>
          <w:rFonts w:ascii="Times New Roman" w:eastAsia="方正小标宋_GBK" w:hAnsi="Times New Roman" w:cs="Times New Roman"/>
          <w:bCs/>
          <w:sz w:val="40"/>
          <w:szCs w:val="40"/>
        </w:rPr>
      </w:pPr>
    </w:p>
    <w:p w:rsidR="002807EA" w:rsidRDefault="002807EA" w:rsidP="002807EA">
      <w:pPr>
        <w:spacing w:line="600" w:lineRule="exact"/>
        <w:ind w:firstLine="672"/>
        <w:jc w:val="left"/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</w:pPr>
      <w:r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  <w:t>一、工作职责</w:t>
      </w:r>
    </w:p>
    <w:p w:rsidR="002807EA" w:rsidRDefault="002807EA" w:rsidP="002807EA">
      <w:pPr>
        <w:spacing w:line="600" w:lineRule="exact"/>
        <w:ind w:firstLine="672"/>
        <w:jc w:val="left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每个设区市设立</w:t>
      </w:r>
      <w:r>
        <w:rPr>
          <w:rStyle w:val="fontstyle01"/>
          <w:rFonts w:ascii="Times New Roman" w:hAnsi="Times New Roman" w:cs="Times New Roman" w:hint="default"/>
          <w:sz w:val="30"/>
          <w:szCs w:val="30"/>
        </w:rPr>
        <w:t>1</w:t>
      </w:r>
      <w:r>
        <w:rPr>
          <w:rStyle w:val="fontstyle01"/>
          <w:rFonts w:ascii="Times New Roman" w:hAnsi="Times New Roman" w:cs="Times New Roman" w:hint="default"/>
          <w:sz w:val="30"/>
          <w:szCs w:val="30"/>
        </w:rPr>
        <w:t>所麻风诊治定点医疗机构，负责全市范围内的麻风临床诊治工作。定点医疗机构在麻风防治工作中应当履行以下职责：</w:t>
      </w:r>
    </w:p>
    <w:p w:rsidR="002807EA" w:rsidRDefault="002807EA" w:rsidP="002807EA">
      <w:pPr>
        <w:spacing w:line="60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（一）</w:t>
      </w:r>
      <w:r>
        <w:rPr>
          <w:rFonts w:ascii="Times New Roman" w:eastAsia="方正仿宋_GBK" w:hAnsi="Times New Roman" w:cs="Times New Roman"/>
          <w:color w:val="000000"/>
          <w:sz w:val="30"/>
          <w:szCs w:val="30"/>
        </w:rPr>
        <w:t>负责麻风患者的诊断治疗和临床判愈，落实治疗期间的随访检查；</w:t>
      </w:r>
    </w:p>
    <w:p w:rsidR="002807EA" w:rsidRDefault="002807EA" w:rsidP="002807EA">
      <w:pPr>
        <w:spacing w:line="60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（二）</w:t>
      </w:r>
      <w:r>
        <w:rPr>
          <w:rFonts w:ascii="Times New Roman" w:eastAsia="方正仿宋_GBK" w:hAnsi="Times New Roman" w:cs="Times New Roman"/>
          <w:color w:val="000000"/>
          <w:sz w:val="30"/>
          <w:szCs w:val="30"/>
        </w:rPr>
        <w:t>负责为伴有严重麻风反应、并发症和抗麻风药物不良反应的患者处置提供相关医疗服务；</w:t>
      </w:r>
    </w:p>
    <w:p w:rsidR="002807EA" w:rsidRDefault="002807EA" w:rsidP="002807EA">
      <w:pPr>
        <w:spacing w:line="60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（三）</w:t>
      </w:r>
      <w:r>
        <w:rPr>
          <w:rFonts w:ascii="Times New Roman" w:eastAsia="方正仿宋_GBK" w:hAnsi="Times New Roman" w:cs="Times New Roman"/>
          <w:color w:val="000000"/>
          <w:sz w:val="30"/>
          <w:szCs w:val="30"/>
        </w:rPr>
        <w:t>负责麻风患者报告、登记和治疗期间相关信息的网络报告工作；</w:t>
      </w:r>
    </w:p>
    <w:p w:rsidR="002807EA" w:rsidRDefault="002807EA" w:rsidP="002807EA">
      <w:pPr>
        <w:spacing w:line="60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（四）</w:t>
      </w:r>
      <w:r>
        <w:rPr>
          <w:rFonts w:ascii="Times New Roman" w:eastAsia="方正仿宋_GBK" w:hAnsi="Times New Roman" w:cs="Times New Roman"/>
          <w:color w:val="000000"/>
          <w:sz w:val="30"/>
          <w:szCs w:val="30"/>
        </w:rPr>
        <w:t>对麻风患者的密切接触者进行麻风医学检查；</w:t>
      </w:r>
    </w:p>
    <w:p w:rsidR="002807EA" w:rsidRDefault="002807EA" w:rsidP="002807EA">
      <w:pPr>
        <w:spacing w:line="600" w:lineRule="exact"/>
        <w:ind w:firstLine="672"/>
        <w:rPr>
          <w:rStyle w:val="fontstyle01"/>
          <w:rFonts w:ascii="Times New Roman" w:hAnsi="Times New Roman" w:cs="Times New Roman" w:hint="default"/>
          <w:sz w:val="30"/>
          <w:szCs w:val="30"/>
        </w:rPr>
      </w:pPr>
      <w:r>
        <w:rPr>
          <w:rStyle w:val="fontstyle01"/>
          <w:rFonts w:ascii="Times New Roman" w:hAnsi="Times New Roman" w:cs="Times New Roman" w:hint="default"/>
          <w:sz w:val="30"/>
          <w:szCs w:val="30"/>
        </w:rPr>
        <w:t>（五）</w:t>
      </w:r>
      <w:r>
        <w:rPr>
          <w:rFonts w:ascii="Times New Roman" w:eastAsia="方正仿宋_GBK" w:hAnsi="Times New Roman" w:cs="Times New Roman"/>
          <w:color w:val="000000"/>
          <w:sz w:val="30"/>
          <w:szCs w:val="30"/>
        </w:rPr>
        <w:t>对麻风患者及其家属进行健康教育</w:t>
      </w:r>
      <w:r>
        <w:rPr>
          <w:rStyle w:val="fontstyle01"/>
          <w:rFonts w:ascii="Times New Roman" w:hAnsi="Times New Roman" w:cs="Times New Roman" w:hint="default"/>
          <w:sz w:val="30"/>
          <w:szCs w:val="30"/>
        </w:rPr>
        <w:t>。</w:t>
      </w:r>
    </w:p>
    <w:p w:rsidR="002807EA" w:rsidRDefault="002807EA" w:rsidP="002807EA">
      <w:pPr>
        <w:spacing w:line="560" w:lineRule="exact"/>
        <w:ind w:firstLine="672"/>
        <w:jc w:val="left"/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</w:pPr>
      <w:r>
        <w:rPr>
          <w:rStyle w:val="fontstyle01"/>
          <w:rFonts w:ascii="方正黑体_GBK" w:eastAsia="方正黑体_GBK" w:hAnsi="Times New Roman" w:cs="Times New Roman" w:hint="default"/>
          <w:sz w:val="30"/>
          <w:szCs w:val="30"/>
        </w:rPr>
        <w:t>二、市级麻风诊治定点医疗机构名单（13所）</w:t>
      </w:r>
    </w:p>
    <w:tbl>
      <w:tblPr>
        <w:tblStyle w:val="a5"/>
        <w:tblW w:w="10125" w:type="dxa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701"/>
        <w:gridCol w:w="1701"/>
        <w:gridCol w:w="1842"/>
        <w:gridCol w:w="2046"/>
      </w:tblGrid>
      <w:tr w:rsidR="002807EA" w:rsidTr="008B78F7">
        <w:trPr>
          <w:trHeight w:val="429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lastRenderedPageBreak/>
              <w:t>设区市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机构名称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执业地点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就诊科室</w:t>
            </w:r>
          </w:p>
        </w:tc>
        <w:tc>
          <w:tcPr>
            <w:tcW w:w="1842" w:type="dxa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科室位置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</w:pPr>
            <w:r>
              <w:rPr>
                <w:rStyle w:val="fontstyle01"/>
                <w:rFonts w:ascii="方正黑体_GBK" w:eastAsia="方正黑体_GBK" w:hint="default"/>
                <w:sz w:val="30"/>
                <w:szCs w:val="30"/>
              </w:rPr>
              <w:t>咨询服务电话</w:t>
            </w:r>
          </w:p>
        </w:tc>
      </w:tr>
      <w:tr w:rsidR="002807EA" w:rsidTr="008B78F7">
        <w:trPr>
          <w:trHeight w:val="1892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南京市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南京市第二医院</w:t>
            </w:r>
            <w:r>
              <w:rPr>
                <w:rFonts w:eastAsia="方正仿宋_GBK" w:hint="eastAsia"/>
                <w:sz w:val="28"/>
                <w:szCs w:val="28"/>
              </w:rPr>
              <w:t>（</w:t>
            </w:r>
            <w:r>
              <w:rPr>
                <w:rFonts w:eastAsia="方正仿宋_GBK"/>
                <w:sz w:val="28"/>
                <w:szCs w:val="28"/>
              </w:rPr>
              <w:t>南京市公共卫生医疗中心</w:t>
            </w:r>
            <w:r>
              <w:rPr>
                <w:rFonts w:eastAsia="方正仿宋_GBK" w:hint="eastAsia"/>
                <w:sz w:val="28"/>
                <w:szCs w:val="28"/>
              </w:rPr>
              <w:t>）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江宁区汤山街道康复路</w:t>
            </w:r>
            <w:r>
              <w:rPr>
                <w:rFonts w:eastAsia="方正仿宋_GBK"/>
                <w:sz w:val="28"/>
                <w:szCs w:val="28"/>
              </w:rPr>
              <w:t>1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C</w:t>
            </w:r>
            <w:r>
              <w:rPr>
                <w:rFonts w:eastAsia="方正仿宋_GBK" w:hint="eastAsia"/>
                <w:sz w:val="28"/>
                <w:szCs w:val="28"/>
              </w:rPr>
              <w:t>楼一楼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025-85091717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无锡市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无锡市第五人民医院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梁溪区广瑞路</w:t>
            </w:r>
            <w:r>
              <w:rPr>
                <w:rFonts w:eastAsia="方正仿宋_GBK"/>
                <w:sz w:val="28"/>
                <w:szCs w:val="28"/>
              </w:rPr>
              <w:t>1215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A</w:t>
            </w:r>
            <w:r>
              <w:rPr>
                <w:rFonts w:eastAsia="方正仿宋_GBK" w:hint="eastAsia"/>
                <w:sz w:val="28"/>
                <w:szCs w:val="28"/>
              </w:rPr>
              <w:t>楼二楼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0510-68585555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徐州市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徐州市传染病医院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云龙区东郊甸子双拥路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门诊楼二楼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0516-68900811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常州市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常州市第三人民医院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天宁区兰陵北路</w:t>
            </w:r>
            <w:r>
              <w:rPr>
                <w:rFonts w:eastAsia="方正仿宋_GBK"/>
                <w:sz w:val="28"/>
                <w:szCs w:val="28"/>
              </w:rPr>
              <w:t>300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</w:t>
            </w:r>
            <w:r>
              <w:rPr>
                <w:rFonts w:eastAsia="方正仿宋_GBK" w:hint="eastAsia"/>
                <w:sz w:val="28"/>
                <w:szCs w:val="28"/>
              </w:rPr>
              <w:t>号楼二楼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0519-82009150</w:t>
            </w:r>
          </w:p>
        </w:tc>
      </w:tr>
      <w:tr w:rsidR="002807EA" w:rsidTr="008B78F7">
        <w:trPr>
          <w:trHeight w:val="860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苏州市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苏州市第五人民医院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30"/>
                <w:szCs w:val="30"/>
              </w:rPr>
              <w:t>相城区广前路</w:t>
            </w:r>
            <w:r>
              <w:rPr>
                <w:rFonts w:eastAsia="方正仿宋_GBK"/>
                <w:sz w:val="30"/>
                <w:szCs w:val="30"/>
              </w:rPr>
              <w:t>10</w:t>
            </w:r>
            <w:r>
              <w:rPr>
                <w:rFonts w:eastAsia="方正仿宋_GBK"/>
                <w:sz w:val="30"/>
                <w:szCs w:val="30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 w:hint="eastAsia"/>
                <w:sz w:val="30"/>
                <w:szCs w:val="30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综合门诊楼</w:t>
            </w:r>
            <w:r>
              <w:rPr>
                <w:rFonts w:eastAsia="方正仿宋_GBK" w:hint="eastAsia"/>
                <w:sz w:val="28"/>
                <w:szCs w:val="28"/>
              </w:rPr>
              <w:t>3</w:t>
            </w:r>
            <w:r>
              <w:rPr>
                <w:rFonts w:eastAsia="方正仿宋_GBK" w:hint="eastAsia"/>
                <w:sz w:val="28"/>
                <w:szCs w:val="28"/>
              </w:rPr>
              <w:t>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0512-87806107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南通市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南通市第三人民医院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崇川区青年中路</w:t>
            </w:r>
            <w:r>
              <w:rPr>
                <w:rFonts w:eastAsia="方正仿宋_GBK"/>
                <w:sz w:val="28"/>
                <w:szCs w:val="28"/>
              </w:rPr>
              <w:t>60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门诊部</w:t>
            </w:r>
            <w:r>
              <w:rPr>
                <w:rFonts w:eastAsia="方正仿宋_GBK" w:hint="eastAsia"/>
                <w:sz w:val="28"/>
                <w:szCs w:val="28"/>
              </w:rPr>
              <w:t>2</w:t>
            </w:r>
            <w:r>
              <w:rPr>
                <w:rFonts w:eastAsia="方正仿宋_GBK" w:hint="eastAsia"/>
                <w:sz w:val="28"/>
                <w:szCs w:val="28"/>
              </w:rPr>
              <w:t>号楼一楼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0513-89093893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连云港市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连云港市第四人民医院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海州区解放东路</w:t>
            </w:r>
            <w:r>
              <w:rPr>
                <w:rFonts w:eastAsia="方正仿宋_GBK"/>
                <w:sz w:val="28"/>
                <w:szCs w:val="28"/>
              </w:rPr>
              <w:t>316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2</w:t>
            </w:r>
            <w:r>
              <w:rPr>
                <w:rFonts w:eastAsia="方正仿宋_GBK" w:hint="eastAsia"/>
                <w:sz w:val="28"/>
                <w:szCs w:val="28"/>
              </w:rPr>
              <w:t>号楼一楼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0518-85214890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lastRenderedPageBreak/>
              <w:t>淮安市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淮安市第四人民医院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清江浦区延安东路</w:t>
            </w:r>
            <w:r>
              <w:rPr>
                <w:rFonts w:eastAsia="方正仿宋_GBK"/>
                <w:sz w:val="28"/>
                <w:szCs w:val="28"/>
              </w:rPr>
              <w:t>128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门诊楼二楼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0517-80321986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盐城市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 w:hint="eastAsia"/>
                <w:sz w:val="28"/>
                <w:szCs w:val="28"/>
              </w:rPr>
              <w:t>盐城市第七人民医院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 w:hint="eastAsia"/>
                <w:sz w:val="28"/>
                <w:szCs w:val="28"/>
              </w:rPr>
              <w:t>亭湖区盐东镇李灶居民委员会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门诊楼一楼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0515—81885528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扬州市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扬州市第三人民医院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邗江区杨庙镇苍颉路</w:t>
            </w:r>
            <w:r>
              <w:rPr>
                <w:rFonts w:eastAsia="方正仿宋_GBK"/>
                <w:sz w:val="28"/>
                <w:szCs w:val="28"/>
              </w:rPr>
              <w:t>2</w:t>
            </w:r>
            <w:r>
              <w:rPr>
                <w:rFonts w:eastAsia="方正仿宋_GBK" w:hint="eastAsia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1</w:t>
            </w:r>
            <w:r>
              <w:rPr>
                <w:rFonts w:eastAsia="方正仿宋_GBK" w:hint="eastAsia"/>
                <w:sz w:val="28"/>
                <w:szCs w:val="28"/>
              </w:rPr>
              <w:t>号楼二楼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0514-87837870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镇江市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镇江市第三人民医院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润州区戴家门</w:t>
            </w:r>
            <w:r>
              <w:rPr>
                <w:rFonts w:eastAsia="方正仿宋_GBK"/>
                <w:sz w:val="28"/>
                <w:szCs w:val="28"/>
              </w:rPr>
              <w:t>300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肝科楼</w:t>
            </w:r>
            <w:r>
              <w:rPr>
                <w:rFonts w:eastAsia="方正仿宋_GBK" w:hint="eastAsia"/>
                <w:sz w:val="28"/>
                <w:szCs w:val="28"/>
              </w:rPr>
              <w:t>1</w:t>
            </w:r>
            <w:r>
              <w:rPr>
                <w:rFonts w:eastAsia="方正仿宋_GBK" w:hint="eastAsia"/>
                <w:sz w:val="28"/>
                <w:szCs w:val="28"/>
              </w:rPr>
              <w:t>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0511-80578802</w:t>
            </w:r>
          </w:p>
        </w:tc>
      </w:tr>
      <w:tr w:rsidR="002807EA" w:rsidTr="008B78F7">
        <w:trPr>
          <w:trHeight w:val="1056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泰州市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泰州市人民医院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泰州市医药高新区太湖路</w:t>
            </w:r>
            <w:r>
              <w:rPr>
                <w:rFonts w:eastAsia="方正仿宋_GBK"/>
                <w:sz w:val="28"/>
                <w:szCs w:val="28"/>
              </w:rPr>
              <w:t>366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皮肤科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门诊楼</w:t>
            </w:r>
            <w:r>
              <w:rPr>
                <w:rFonts w:eastAsia="方正仿宋_GBK" w:hint="eastAsia"/>
                <w:sz w:val="28"/>
                <w:szCs w:val="28"/>
              </w:rPr>
              <w:t>3</w:t>
            </w:r>
            <w:r>
              <w:rPr>
                <w:rFonts w:eastAsia="方正仿宋_GBK" w:hint="eastAsia"/>
                <w:sz w:val="28"/>
                <w:szCs w:val="28"/>
              </w:rPr>
              <w:t>楼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0523-89890232</w:t>
            </w:r>
          </w:p>
        </w:tc>
      </w:tr>
      <w:tr w:rsidR="002807EA" w:rsidTr="008B78F7">
        <w:trPr>
          <w:trHeight w:val="813"/>
          <w:jc w:val="center"/>
        </w:trPr>
        <w:tc>
          <w:tcPr>
            <w:tcW w:w="1134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</w:rPr>
            </w:pPr>
            <w:r>
              <w:rPr>
                <w:rFonts w:eastAsia="方正仿宋_GBK"/>
                <w:sz w:val="28"/>
                <w:szCs w:val="28"/>
              </w:rPr>
              <w:t>宿迁市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宿迁市传染病医院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 w:hint="eastAsia"/>
                <w:sz w:val="28"/>
                <w:szCs w:val="28"/>
              </w:rPr>
              <w:t>宿城区宿迁大道</w:t>
            </w:r>
            <w:r>
              <w:rPr>
                <w:rFonts w:eastAsia="方正仿宋_GBK"/>
                <w:sz w:val="28"/>
                <w:szCs w:val="28"/>
              </w:rPr>
              <w:t>120</w:t>
            </w:r>
            <w:r>
              <w:rPr>
                <w:rFonts w:eastAsia="方正仿宋_GBK" w:hint="eastAsia"/>
                <w:sz w:val="28"/>
                <w:szCs w:val="28"/>
              </w:rPr>
              <w:t>号（宿迁市第一人民医院内）</w:t>
            </w:r>
          </w:p>
        </w:tc>
        <w:tc>
          <w:tcPr>
            <w:tcW w:w="1701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 xml:space="preserve">  </w:t>
            </w:r>
            <w:r>
              <w:rPr>
                <w:rFonts w:eastAsia="方正仿宋_GBK" w:hint="eastAsia"/>
                <w:sz w:val="28"/>
                <w:szCs w:val="28"/>
              </w:rPr>
              <w:t>感染科</w:t>
            </w:r>
          </w:p>
        </w:tc>
        <w:tc>
          <w:tcPr>
            <w:tcW w:w="1842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门诊楼</w:t>
            </w:r>
            <w:r>
              <w:rPr>
                <w:rFonts w:eastAsia="方正仿宋_GBK" w:hint="eastAsia"/>
                <w:sz w:val="28"/>
                <w:szCs w:val="28"/>
              </w:rPr>
              <w:t>3</w:t>
            </w:r>
            <w:r>
              <w:rPr>
                <w:rFonts w:eastAsia="方正仿宋_GBK" w:hint="eastAsia"/>
                <w:sz w:val="28"/>
                <w:szCs w:val="28"/>
              </w:rPr>
              <w:t>楼</w:t>
            </w:r>
            <w:r>
              <w:rPr>
                <w:rFonts w:eastAsia="方正仿宋_GBK" w:hint="eastAsia"/>
                <w:sz w:val="28"/>
                <w:szCs w:val="28"/>
              </w:rPr>
              <w:t>F</w:t>
            </w:r>
            <w:r>
              <w:rPr>
                <w:rFonts w:eastAsia="方正仿宋_GBK" w:hint="eastAsia"/>
                <w:sz w:val="28"/>
                <w:szCs w:val="28"/>
              </w:rPr>
              <w:t>区</w:t>
            </w:r>
          </w:p>
        </w:tc>
        <w:tc>
          <w:tcPr>
            <w:tcW w:w="2046" w:type="dxa"/>
            <w:vAlign w:val="center"/>
          </w:tcPr>
          <w:p w:rsidR="002807EA" w:rsidRDefault="002807EA" w:rsidP="008B78F7">
            <w:pPr>
              <w:adjustRightInd w:val="0"/>
              <w:snapToGrid w:val="0"/>
              <w:spacing w:line="560" w:lineRule="exact"/>
              <w:jc w:val="center"/>
              <w:rPr>
                <w:rFonts w:eastAsia="方正仿宋_GBK"/>
                <w:sz w:val="30"/>
                <w:szCs w:val="30"/>
                <w:highlight w:val="yellow"/>
              </w:rPr>
            </w:pPr>
            <w:r>
              <w:rPr>
                <w:rFonts w:eastAsia="方正仿宋_GBK"/>
                <w:sz w:val="28"/>
                <w:szCs w:val="28"/>
              </w:rPr>
              <w:t>0527-80526304</w:t>
            </w:r>
          </w:p>
        </w:tc>
      </w:tr>
    </w:tbl>
    <w:p w:rsidR="002807EA" w:rsidRDefault="002807EA" w:rsidP="002807EA">
      <w:pPr>
        <w:spacing w:line="560" w:lineRule="exact"/>
        <w:jc w:val="left"/>
        <w:rPr>
          <w:rStyle w:val="fontstyle01"/>
          <w:rFonts w:ascii="Times New Roman" w:hAnsi="Times New Roman" w:cs="Times New Roman" w:hint="default"/>
          <w:b/>
          <w:bCs/>
          <w:sz w:val="30"/>
          <w:szCs w:val="30"/>
        </w:rPr>
      </w:pPr>
    </w:p>
    <w:p w:rsidR="006554C5" w:rsidRDefault="006554C5"/>
    <w:sectPr w:rsidR="006554C5">
      <w:footerReference w:type="default" r:id="rId7"/>
      <w:pgSz w:w="11906" w:h="16838"/>
      <w:pgMar w:top="2098" w:right="1531" w:bottom="209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116" w:rsidRDefault="002A1116" w:rsidP="002807EA">
      <w:pPr>
        <w:spacing w:after="0" w:line="240" w:lineRule="auto"/>
      </w:pPr>
      <w:r>
        <w:separator/>
      </w:r>
    </w:p>
  </w:endnote>
  <w:endnote w:type="continuationSeparator" w:id="0">
    <w:p w:rsidR="002A1116" w:rsidRDefault="002A1116" w:rsidP="00280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"/>
    </w:sdtPr>
    <w:sdtEndPr>
      <w:rPr>
        <w:sz w:val="28"/>
        <w:szCs w:val="28"/>
      </w:rPr>
    </w:sdtEndPr>
    <w:sdtContent>
      <w:p w:rsidR="00061B7A" w:rsidRDefault="002A1116">
        <w:pPr>
          <w:pStyle w:val="a4"/>
          <w:jc w:val="center"/>
          <w:rPr>
            <w:sz w:val="28"/>
            <w:szCs w:val="28"/>
          </w:rPr>
        </w:pPr>
        <w:r>
          <w:rPr>
            <w:rFonts w:ascii="宋体" w:eastAsia="宋体" w:hAnsi="宋体" w:hint="eastAsia"/>
            <w:sz w:val="28"/>
            <w:szCs w:val="28"/>
          </w:rPr>
          <w:t>—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>PAGE   \* MERGEFORMAT</w:instrText>
        </w:r>
        <w:r>
          <w:rPr>
            <w:sz w:val="28"/>
            <w:szCs w:val="28"/>
          </w:rPr>
          <w:fldChar w:fldCharType="separate"/>
        </w:r>
        <w:r w:rsidR="002807EA" w:rsidRPr="002807EA">
          <w:rPr>
            <w:noProof/>
            <w:sz w:val="28"/>
            <w:szCs w:val="28"/>
            <w:lang w:val="zh-CN"/>
          </w:rPr>
          <w:t>2</w:t>
        </w:r>
        <w:r>
          <w:rPr>
            <w:sz w:val="28"/>
            <w:szCs w:val="28"/>
          </w:rPr>
          <w:fldChar w:fldCharType="end"/>
        </w:r>
        <w:r>
          <w:rPr>
            <w:rFonts w:ascii="宋体" w:eastAsia="宋体" w:hAnsi="宋体" w:hint="eastAsia"/>
            <w:sz w:val="28"/>
            <w:szCs w:val="28"/>
          </w:rPr>
          <w:t>—</w:t>
        </w:r>
      </w:p>
    </w:sdtContent>
  </w:sdt>
  <w:p w:rsidR="00061B7A" w:rsidRDefault="002A111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116" w:rsidRDefault="002A1116" w:rsidP="002807EA">
      <w:pPr>
        <w:spacing w:after="0" w:line="240" w:lineRule="auto"/>
      </w:pPr>
      <w:r>
        <w:separator/>
      </w:r>
    </w:p>
  </w:footnote>
  <w:footnote w:type="continuationSeparator" w:id="0">
    <w:p w:rsidR="002A1116" w:rsidRDefault="002A1116" w:rsidP="002807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78B"/>
    <w:rsid w:val="002807EA"/>
    <w:rsid w:val="002A1116"/>
    <w:rsid w:val="006554C5"/>
    <w:rsid w:val="008A0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7EA"/>
    <w:pPr>
      <w:widowControl w:val="0"/>
      <w:spacing w:after="160" w:line="278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7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7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807EA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807EA"/>
    <w:rPr>
      <w:sz w:val="18"/>
      <w:szCs w:val="18"/>
    </w:rPr>
  </w:style>
  <w:style w:type="table" w:styleId="a5">
    <w:name w:val="Table Grid"/>
    <w:basedOn w:val="a1"/>
    <w:uiPriority w:val="39"/>
    <w:qFormat/>
    <w:rsid w:val="002807E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qFormat/>
    <w:rsid w:val="002807EA"/>
    <w:rPr>
      <w:rFonts w:ascii="方正仿宋_GBK" w:eastAsia="方正仿宋_GBK" w:hint="eastAsia"/>
      <w:color w:val="000000"/>
      <w:sz w:val="32"/>
      <w:szCs w:val="32"/>
    </w:rPr>
  </w:style>
  <w:style w:type="paragraph" w:styleId="a6">
    <w:name w:val="Balloon Text"/>
    <w:basedOn w:val="a"/>
    <w:link w:val="Char1"/>
    <w:uiPriority w:val="99"/>
    <w:semiHidden/>
    <w:unhideWhenUsed/>
    <w:rsid w:val="002807EA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807E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07EA"/>
    <w:pPr>
      <w:widowControl w:val="0"/>
      <w:spacing w:after="160" w:line="278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07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07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2807EA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2807EA"/>
    <w:rPr>
      <w:sz w:val="18"/>
      <w:szCs w:val="18"/>
    </w:rPr>
  </w:style>
  <w:style w:type="table" w:styleId="a5">
    <w:name w:val="Table Grid"/>
    <w:basedOn w:val="a1"/>
    <w:uiPriority w:val="39"/>
    <w:qFormat/>
    <w:rsid w:val="002807EA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qFormat/>
    <w:rsid w:val="002807EA"/>
    <w:rPr>
      <w:rFonts w:ascii="方正仿宋_GBK" w:eastAsia="方正仿宋_GBK" w:hint="eastAsia"/>
      <w:color w:val="000000"/>
      <w:sz w:val="32"/>
      <w:szCs w:val="32"/>
    </w:rPr>
  </w:style>
  <w:style w:type="paragraph" w:styleId="a6">
    <w:name w:val="Balloon Text"/>
    <w:basedOn w:val="a"/>
    <w:link w:val="Char1"/>
    <w:uiPriority w:val="99"/>
    <w:semiHidden/>
    <w:unhideWhenUsed/>
    <w:rsid w:val="002807EA"/>
    <w:pPr>
      <w:spacing w:after="0"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807E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148</Words>
  <Characters>847</Characters>
  <Application>Microsoft Office Word</Application>
  <DocSecurity>0</DocSecurity>
  <Lines>7</Lines>
  <Paragraphs>1</Paragraphs>
  <ScaleCrop>false</ScaleCrop>
  <Company>Micorosoft</Company>
  <LinksUpToDate>false</LinksUpToDate>
  <CharactersWithSpaces>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Micorosoft</cp:lastModifiedBy>
  <cp:revision>2</cp:revision>
  <dcterms:created xsi:type="dcterms:W3CDTF">2025-04-10T07:00:00Z</dcterms:created>
  <dcterms:modified xsi:type="dcterms:W3CDTF">2025-04-10T07:00:00Z</dcterms:modified>
</cp:coreProperties>
</file>