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2081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lang w:val="en-US" w:eastAsia="zh-CN"/>
        </w:rPr>
        <w:t xml:space="preserve">第三部分 </w:t>
      </w:r>
      <w:r>
        <w:rPr>
          <w:rFonts w:hint="eastAsia" w:ascii="Times New Roman" w:hAnsi="Times New Roman" w:eastAsia="方正小标宋_GBK" w:cs="方正小标宋_GBK"/>
          <w:sz w:val="44"/>
          <w:szCs w:val="44"/>
        </w:rPr>
        <w:t>公共</w:t>
      </w:r>
      <w:r>
        <w:rPr>
          <w:rFonts w:hint="eastAsia" w:ascii="Times New Roman" w:hAnsi="Times New Roman" w:eastAsia="方正小标宋_GBK" w:cs="方正小标宋_GBK"/>
          <w:sz w:val="44"/>
          <w:szCs w:val="44"/>
          <w:lang w:val="en-US" w:eastAsia="zh-CN"/>
        </w:rPr>
        <w:t>卫生</w:t>
      </w:r>
      <w:r>
        <w:rPr>
          <w:rFonts w:hint="eastAsia" w:ascii="Times New Roman" w:hAnsi="Times New Roman" w:eastAsia="方正小标宋_GBK" w:cs="方正小标宋_GBK"/>
          <w:sz w:val="44"/>
          <w:szCs w:val="44"/>
        </w:rPr>
        <w:t>行政处罚裁量</w:t>
      </w:r>
      <w:r>
        <w:rPr>
          <w:rFonts w:hint="eastAsia" w:ascii="Times New Roman" w:hAnsi="Times New Roman" w:eastAsia="方正小标宋_GBK" w:cs="方正小标宋_GBK"/>
          <w:sz w:val="44"/>
          <w:szCs w:val="44"/>
          <w:lang w:val="en-US" w:eastAsia="zh-CN"/>
        </w:rPr>
        <w:t>权</w:t>
      </w:r>
      <w:r>
        <w:rPr>
          <w:rFonts w:hint="eastAsia" w:ascii="Times New Roman" w:hAnsi="Times New Roman" w:eastAsia="方正小标宋_GBK" w:cs="方正小标宋_GBK"/>
          <w:sz w:val="44"/>
          <w:szCs w:val="44"/>
        </w:rPr>
        <w:t>基准</w:t>
      </w:r>
    </w:p>
    <w:p w14:paraId="1EAA727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p>
    <w:p w14:paraId="72CA35B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一、《公共场所卫生管理条例》《公共场所卫生管理条例实施细则》</w:t>
      </w:r>
    </w:p>
    <w:p w14:paraId="10373501">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案由一：</w:t>
      </w:r>
      <w:bookmarkStart w:id="0" w:name="_Toc15898"/>
      <w:r>
        <w:rPr>
          <w:rFonts w:hint="eastAsia" w:ascii="方正楷体_GBK" w:hAnsi="方正楷体_GBK" w:eastAsia="方正楷体_GBK" w:cs="方正楷体_GBK"/>
          <w:spacing w:val="15"/>
          <w:sz w:val="32"/>
          <w:szCs w:val="32"/>
          <w14:ligatures w14:val="standardContextual"/>
        </w:rPr>
        <w:t>公共场所经营者安排未获得有效健康合格证明的从业人员从事直接为顾客服务工作的</w:t>
      </w:r>
      <w:bookmarkEnd w:id="0"/>
    </w:p>
    <w:p w14:paraId="73E90D2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bookmarkStart w:id="1" w:name="_Toc20933"/>
    </w:p>
    <w:p w14:paraId="151821D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方正仿宋_GBK" w:hAnsi="方正仿宋_GBK" w:eastAsia="方正仿宋_GBK" w:cs="方正仿宋_GBK"/>
          <w:sz w:val="32"/>
          <w:szCs w:val="32"/>
          <w14:ligatures w14:val="standardContextual"/>
        </w:rPr>
      </w:pPr>
      <w:r>
        <w:rPr>
          <w:rFonts w:hint="eastAsia" w:ascii="方正仿宋_GBK" w:hAnsi="方正仿宋_GBK" w:eastAsia="方正仿宋_GBK" w:cs="方正仿宋_GBK"/>
          <w:sz w:val="32"/>
          <w:szCs w:val="32"/>
          <w14:ligatures w14:val="standardContextual"/>
        </w:rPr>
        <w:t>《公共场所卫生管理条例》第十四条第一款第（二）项：凡有下列行为之一的单位或者个人，卫生防疫机构可以根据情节轻重，给予警告、罚款、停业整顿、吊销卫生许可证的行政处罚</w:t>
      </w:r>
      <w:bookmarkEnd w:id="1"/>
      <w:bookmarkStart w:id="2" w:name="_Toc11729"/>
      <w:r>
        <w:rPr>
          <w:rFonts w:hint="eastAsia" w:ascii="方正仿宋_GBK" w:hAnsi="方正仿宋_GBK" w:eastAsia="方正仿宋_GBK" w:cs="方正仿宋_GBK"/>
          <w:sz w:val="32"/>
          <w:szCs w:val="32"/>
          <w14:ligatures w14:val="standardContextual"/>
        </w:rPr>
        <w:t>：（二）未获得健康合格证，而从事直接为顾客服务的。</w:t>
      </w:r>
      <w:bookmarkEnd w:id="2"/>
    </w:p>
    <w:p w14:paraId="22B1616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sz w:val="32"/>
          <w:szCs w:val="32"/>
          <w14:ligatures w14:val="standardContextual"/>
        </w:rPr>
      </w:pPr>
      <w:bookmarkStart w:id="3" w:name="_Toc23924"/>
      <w:r>
        <w:rPr>
          <w:rFonts w:hint="eastAsia" w:ascii="方正仿宋_GBK" w:hAnsi="方正仿宋_GBK" w:eastAsia="方正仿宋_GBK" w:cs="方正仿宋_GBK"/>
          <w:sz w:val="32"/>
          <w:szCs w:val="32"/>
          <w14:ligatures w14:val="standardContextual"/>
        </w:rPr>
        <w:t>《公共场所卫生管理条例实施细则》第三十八条：公共场所经营者安排未获得有效健康合格证明的从业人员从事直接为顾客服务工作的，由县级以上地方人民政府卫生计生行政部门责令限期改正，给予警告，并处以五百元以上五千元以下罚款；逾期不改正的，处以五千元以上一万五千元以下罚款。</w:t>
      </w:r>
      <w:bookmarkEnd w:id="3"/>
    </w:p>
    <w:p w14:paraId="3AF63B5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12"/>
        <w:tblW w:w="878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5"/>
        <w:gridCol w:w="3521"/>
        <w:gridCol w:w="1679"/>
        <w:gridCol w:w="2390"/>
      </w:tblGrid>
      <w:tr w14:paraId="5ED36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1195" w:type="dxa"/>
            <w:vAlign w:val="center"/>
          </w:tcPr>
          <w:p w14:paraId="2DE96FC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5200" w:type="dxa"/>
            <w:gridSpan w:val="2"/>
            <w:vAlign w:val="center"/>
          </w:tcPr>
          <w:p w14:paraId="0D5D921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390" w:type="dxa"/>
            <w:vAlign w:val="center"/>
          </w:tcPr>
          <w:p w14:paraId="1FD5EE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6E694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trPr>
        <w:tc>
          <w:tcPr>
            <w:tcW w:w="1195" w:type="dxa"/>
            <w:vMerge w:val="restart"/>
            <w:tcBorders>
              <w:bottom w:val="nil"/>
            </w:tcBorders>
            <w:vAlign w:val="center"/>
          </w:tcPr>
          <w:p w14:paraId="24506A6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3521" w:type="dxa"/>
            <w:vMerge w:val="restart"/>
            <w:tcBorders>
              <w:bottom w:val="nil"/>
            </w:tcBorders>
            <w:vAlign w:val="center"/>
          </w:tcPr>
          <w:p w14:paraId="3E13996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公共场所经营者安排</w:t>
            </w:r>
            <w:r>
              <w:rPr>
                <w:rFonts w:hint="eastAsia" w:ascii="方正仿宋_GBK" w:hAnsi="方正仿宋_GBK" w:eastAsia="方正仿宋_GBK" w:cs="方正仿宋_GBK"/>
                <w:sz w:val="28"/>
                <w:szCs w:val="28"/>
                <w:lang w:val="en-US" w:eastAsia="zh-CN"/>
                <w14:ligatures w14:val="standardContextual"/>
              </w:rPr>
              <w:t>6</w:t>
            </w:r>
            <w:r>
              <w:rPr>
                <w:rFonts w:hint="eastAsia" w:ascii="方正仿宋_GBK" w:hAnsi="方正仿宋_GBK" w:eastAsia="方正仿宋_GBK" w:cs="方正仿宋_GBK"/>
                <w:sz w:val="28"/>
                <w:szCs w:val="28"/>
                <w14:ligatures w14:val="standardContextual"/>
              </w:rPr>
              <w:t>名以下未获得有效健康合格证明的从业人员从事直接为顾客服务工作的</w:t>
            </w:r>
          </w:p>
        </w:tc>
        <w:tc>
          <w:tcPr>
            <w:tcW w:w="1679" w:type="dxa"/>
            <w:vAlign w:val="center"/>
          </w:tcPr>
          <w:p w14:paraId="733B9BA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及时改正的</w:t>
            </w:r>
          </w:p>
        </w:tc>
        <w:tc>
          <w:tcPr>
            <w:tcW w:w="2390" w:type="dxa"/>
            <w:vAlign w:val="center"/>
          </w:tcPr>
          <w:p w14:paraId="1F32BCA5">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14:ligatures w14:val="standardContextual"/>
              </w:rPr>
              <w:t>500元≤罚款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18</w:t>
            </w:r>
            <w:r>
              <w:rPr>
                <w:rFonts w:hint="eastAsia" w:ascii="方正仿宋_GBK" w:hAnsi="方正仿宋_GBK" w:eastAsia="方正仿宋_GBK" w:cs="方正仿宋_GBK"/>
                <w:sz w:val="28"/>
                <w:szCs w:val="28"/>
                <w14:ligatures w14:val="standardContextual"/>
              </w:rPr>
              <w:t>50元</w:t>
            </w:r>
          </w:p>
        </w:tc>
      </w:tr>
      <w:tr w14:paraId="4B0EA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195" w:type="dxa"/>
            <w:vMerge w:val="continue"/>
            <w:tcBorders>
              <w:top w:val="nil"/>
            </w:tcBorders>
            <w:vAlign w:val="center"/>
          </w:tcPr>
          <w:p w14:paraId="5F05BA5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p>
        </w:tc>
        <w:tc>
          <w:tcPr>
            <w:tcW w:w="3521" w:type="dxa"/>
            <w:vMerge w:val="continue"/>
            <w:tcBorders>
              <w:top w:val="nil"/>
            </w:tcBorders>
            <w:vAlign w:val="center"/>
          </w:tcPr>
          <w:p w14:paraId="7F0CC02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p>
        </w:tc>
        <w:tc>
          <w:tcPr>
            <w:tcW w:w="1679" w:type="dxa"/>
            <w:vAlign w:val="center"/>
          </w:tcPr>
          <w:p w14:paraId="490507F7">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逾期不改正的</w:t>
            </w:r>
          </w:p>
        </w:tc>
        <w:tc>
          <w:tcPr>
            <w:tcW w:w="2390" w:type="dxa"/>
            <w:vAlign w:val="center"/>
          </w:tcPr>
          <w:p w14:paraId="35D19A25">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500</w:t>
            </w:r>
            <w:r>
              <w:rPr>
                <w:rFonts w:hint="eastAsia" w:ascii="方正仿宋_GBK" w:hAnsi="方正仿宋_GBK" w:eastAsia="方正仿宋_GBK" w:cs="方正仿宋_GBK"/>
                <w:sz w:val="28"/>
                <w:szCs w:val="28"/>
                <w:lang w:val="en-US" w:eastAsia="zh-CN"/>
                <w14:ligatures w14:val="standardContextual"/>
              </w:rPr>
              <w:t>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800</w:t>
            </w:r>
            <w:r>
              <w:rPr>
                <w:rFonts w:hint="eastAsia" w:ascii="方正仿宋_GBK" w:hAnsi="方正仿宋_GBK" w:eastAsia="方正仿宋_GBK" w:cs="方正仿宋_GBK"/>
                <w:sz w:val="28"/>
                <w:szCs w:val="28"/>
                <w14:ligatures w14:val="standardContextual"/>
              </w:rPr>
              <w:t>0元</w:t>
            </w:r>
          </w:p>
        </w:tc>
      </w:tr>
      <w:tr w14:paraId="5FFB8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195" w:type="dxa"/>
            <w:vMerge w:val="restart"/>
            <w:tcBorders>
              <w:bottom w:val="nil"/>
            </w:tcBorders>
            <w:vAlign w:val="center"/>
          </w:tcPr>
          <w:p w14:paraId="3EA32A7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3521" w:type="dxa"/>
            <w:vMerge w:val="restart"/>
            <w:tcBorders>
              <w:bottom w:val="nil"/>
            </w:tcBorders>
            <w:vAlign w:val="center"/>
          </w:tcPr>
          <w:p w14:paraId="670DF79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公共场所经营者安排</w:t>
            </w:r>
            <w:r>
              <w:rPr>
                <w:rFonts w:hint="eastAsia" w:ascii="方正仿宋_GBK" w:hAnsi="方正仿宋_GBK" w:eastAsia="方正仿宋_GBK" w:cs="方正仿宋_GBK"/>
                <w:sz w:val="28"/>
                <w:szCs w:val="28"/>
                <w:lang w:val="en-US" w:eastAsia="zh-CN"/>
                <w14:ligatures w14:val="standardContextual"/>
              </w:rPr>
              <w:t>6名以上10</w:t>
            </w:r>
            <w:r>
              <w:rPr>
                <w:rFonts w:hint="eastAsia" w:ascii="方正仿宋_GBK" w:hAnsi="方正仿宋_GBK" w:eastAsia="方正仿宋_GBK" w:cs="方正仿宋_GBK"/>
                <w:sz w:val="28"/>
                <w:szCs w:val="28"/>
                <w14:ligatures w14:val="standardContextual"/>
              </w:rPr>
              <w:t>名</w:t>
            </w:r>
            <w:r>
              <w:rPr>
                <w:rFonts w:hint="eastAsia" w:ascii="方正仿宋_GBK" w:hAnsi="方正仿宋_GBK" w:eastAsia="方正仿宋_GBK" w:cs="方正仿宋_GBK"/>
                <w:sz w:val="28"/>
                <w:szCs w:val="28"/>
                <w:lang w:val="en-US" w:eastAsia="zh-CN"/>
                <w14:ligatures w14:val="standardContextual"/>
              </w:rPr>
              <w:t>以下</w:t>
            </w:r>
            <w:r>
              <w:rPr>
                <w:rFonts w:hint="eastAsia" w:ascii="方正仿宋_GBK" w:hAnsi="方正仿宋_GBK" w:eastAsia="方正仿宋_GBK" w:cs="方正仿宋_GBK"/>
                <w:sz w:val="28"/>
                <w:szCs w:val="28"/>
                <w14:ligatures w14:val="standardContextual"/>
              </w:rPr>
              <w:t>未获得有效健康合格证明的从业人员从事直接为顾客服务工作的</w:t>
            </w:r>
          </w:p>
        </w:tc>
        <w:tc>
          <w:tcPr>
            <w:tcW w:w="1679" w:type="dxa"/>
            <w:vAlign w:val="center"/>
          </w:tcPr>
          <w:p w14:paraId="452F092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及时改正的</w:t>
            </w:r>
          </w:p>
        </w:tc>
        <w:tc>
          <w:tcPr>
            <w:tcW w:w="2390" w:type="dxa"/>
            <w:vAlign w:val="center"/>
          </w:tcPr>
          <w:p w14:paraId="48537C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18</w:t>
            </w:r>
            <w:r>
              <w:rPr>
                <w:rFonts w:hint="eastAsia" w:ascii="方正仿宋_GBK" w:hAnsi="方正仿宋_GBK" w:eastAsia="方正仿宋_GBK" w:cs="方正仿宋_GBK"/>
                <w:sz w:val="28"/>
                <w:szCs w:val="28"/>
                <w14:ligatures w14:val="standardContextual"/>
              </w:rPr>
              <w:t>50元≤罚款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36</w:t>
            </w:r>
            <w:r>
              <w:rPr>
                <w:rFonts w:hint="eastAsia" w:ascii="方正仿宋_GBK" w:hAnsi="方正仿宋_GBK" w:eastAsia="方正仿宋_GBK" w:cs="方正仿宋_GBK"/>
                <w:sz w:val="28"/>
                <w:szCs w:val="28"/>
                <w14:ligatures w14:val="standardContextual"/>
              </w:rPr>
              <w:t>50元</w:t>
            </w:r>
          </w:p>
        </w:tc>
      </w:tr>
      <w:tr w14:paraId="0D42CF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195" w:type="dxa"/>
            <w:vMerge w:val="continue"/>
            <w:tcBorders>
              <w:top w:val="nil"/>
            </w:tcBorders>
            <w:vAlign w:val="center"/>
          </w:tcPr>
          <w:p w14:paraId="65C6ECE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p>
        </w:tc>
        <w:tc>
          <w:tcPr>
            <w:tcW w:w="3521" w:type="dxa"/>
            <w:vMerge w:val="continue"/>
            <w:tcBorders>
              <w:top w:val="nil"/>
            </w:tcBorders>
            <w:vAlign w:val="center"/>
          </w:tcPr>
          <w:p w14:paraId="428BFAC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p>
        </w:tc>
        <w:tc>
          <w:tcPr>
            <w:tcW w:w="1679" w:type="dxa"/>
            <w:vAlign w:val="center"/>
          </w:tcPr>
          <w:p w14:paraId="35C0F82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逾期不改正的</w:t>
            </w:r>
          </w:p>
        </w:tc>
        <w:tc>
          <w:tcPr>
            <w:tcW w:w="2390" w:type="dxa"/>
            <w:vAlign w:val="center"/>
          </w:tcPr>
          <w:p w14:paraId="6251E86B">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8</w:t>
            </w:r>
            <w:r>
              <w:rPr>
                <w:rFonts w:hint="eastAsia" w:ascii="方正仿宋_GBK" w:hAnsi="方正仿宋_GBK" w:eastAsia="方正仿宋_GBK" w:cs="方正仿宋_GBK"/>
                <w:sz w:val="28"/>
                <w:szCs w:val="28"/>
                <w14:ligatures w14:val="standardContextual"/>
              </w:rPr>
              <w:t>00</w:t>
            </w:r>
            <w:r>
              <w:rPr>
                <w:rFonts w:hint="eastAsia" w:ascii="方正仿宋_GBK" w:hAnsi="方正仿宋_GBK" w:eastAsia="方正仿宋_GBK" w:cs="方正仿宋_GBK"/>
                <w:sz w:val="28"/>
                <w:szCs w:val="28"/>
                <w:lang w:val="en-US" w:eastAsia="zh-CN"/>
                <w14:ligatures w14:val="standardContextual"/>
              </w:rPr>
              <w:t>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12000</w:t>
            </w:r>
            <w:r>
              <w:rPr>
                <w:rFonts w:hint="eastAsia" w:ascii="方正仿宋_GBK" w:hAnsi="方正仿宋_GBK" w:eastAsia="方正仿宋_GBK" w:cs="方正仿宋_GBK"/>
                <w:sz w:val="28"/>
                <w:szCs w:val="28"/>
                <w14:ligatures w14:val="standardContextual"/>
              </w:rPr>
              <w:t>元</w:t>
            </w:r>
          </w:p>
        </w:tc>
      </w:tr>
      <w:tr w14:paraId="0DD36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195" w:type="dxa"/>
            <w:vMerge w:val="restart"/>
            <w:tcBorders>
              <w:bottom w:val="nil"/>
            </w:tcBorders>
            <w:vAlign w:val="center"/>
          </w:tcPr>
          <w:p w14:paraId="5DE7F21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3521" w:type="dxa"/>
            <w:vMerge w:val="restart"/>
            <w:tcBorders>
              <w:bottom w:val="nil"/>
            </w:tcBorders>
            <w:vAlign w:val="center"/>
          </w:tcPr>
          <w:p w14:paraId="74982A7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公共场所经营者安排</w:t>
            </w:r>
            <w:r>
              <w:rPr>
                <w:rFonts w:hint="eastAsia" w:ascii="方正仿宋_GBK" w:hAnsi="方正仿宋_GBK" w:eastAsia="方正仿宋_GBK" w:cs="方正仿宋_GBK"/>
                <w:sz w:val="28"/>
                <w:szCs w:val="28"/>
                <w:lang w:val="en-US" w:eastAsia="zh-CN"/>
                <w14:ligatures w14:val="standardContextual"/>
              </w:rPr>
              <w:t>10</w:t>
            </w:r>
            <w:r>
              <w:rPr>
                <w:rFonts w:hint="eastAsia" w:ascii="方正仿宋_GBK" w:hAnsi="方正仿宋_GBK" w:eastAsia="方正仿宋_GBK" w:cs="方正仿宋_GBK"/>
                <w:sz w:val="28"/>
                <w:szCs w:val="28"/>
                <w14:ligatures w14:val="standardContextual"/>
              </w:rPr>
              <w:t>名以上未获得有效健康合格证明的从业人员从事直接为顾客服务工作的</w:t>
            </w:r>
          </w:p>
        </w:tc>
        <w:tc>
          <w:tcPr>
            <w:tcW w:w="1679" w:type="dxa"/>
            <w:vAlign w:val="center"/>
          </w:tcPr>
          <w:p w14:paraId="2C08C7F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及时改正的</w:t>
            </w:r>
          </w:p>
        </w:tc>
        <w:tc>
          <w:tcPr>
            <w:tcW w:w="2390" w:type="dxa"/>
            <w:vAlign w:val="center"/>
          </w:tcPr>
          <w:p w14:paraId="255A06E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3650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5000</w:t>
            </w:r>
            <w:r>
              <w:rPr>
                <w:rFonts w:hint="eastAsia" w:ascii="方正仿宋_GBK" w:hAnsi="方正仿宋_GBK" w:eastAsia="方正仿宋_GBK" w:cs="方正仿宋_GBK"/>
                <w:sz w:val="28"/>
                <w:szCs w:val="28"/>
                <w14:ligatures w14:val="standardContextual"/>
              </w:rPr>
              <w:t>元</w:t>
            </w:r>
          </w:p>
        </w:tc>
      </w:tr>
      <w:tr w14:paraId="11A35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1195" w:type="dxa"/>
            <w:vMerge w:val="continue"/>
            <w:tcBorders>
              <w:top w:val="nil"/>
            </w:tcBorders>
            <w:vAlign w:val="center"/>
          </w:tcPr>
          <w:p w14:paraId="1BC3272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p>
        </w:tc>
        <w:tc>
          <w:tcPr>
            <w:tcW w:w="3521" w:type="dxa"/>
            <w:vMerge w:val="continue"/>
            <w:tcBorders>
              <w:top w:val="nil"/>
            </w:tcBorders>
            <w:vAlign w:val="center"/>
          </w:tcPr>
          <w:p w14:paraId="388A2A1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p>
        </w:tc>
        <w:tc>
          <w:tcPr>
            <w:tcW w:w="1679" w:type="dxa"/>
            <w:vAlign w:val="center"/>
          </w:tcPr>
          <w:p w14:paraId="320B2B2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逾期不改正的</w:t>
            </w:r>
          </w:p>
        </w:tc>
        <w:tc>
          <w:tcPr>
            <w:tcW w:w="2390" w:type="dxa"/>
            <w:vAlign w:val="center"/>
          </w:tcPr>
          <w:p w14:paraId="15DC651D">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12000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lang w:val="en-US" w:eastAsia="zh-CN"/>
              </w:rPr>
              <w:t>15000</w:t>
            </w:r>
            <w:r>
              <w:rPr>
                <w:rFonts w:hint="eastAsia" w:ascii="方正仿宋_GBK" w:hAnsi="方正仿宋_GBK" w:eastAsia="方正仿宋_GBK" w:cs="方正仿宋_GBK"/>
                <w:sz w:val="28"/>
                <w:szCs w:val="28"/>
                <w14:ligatures w14:val="standardContextual"/>
              </w:rPr>
              <w:t>元</w:t>
            </w:r>
          </w:p>
        </w:tc>
      </w:tr>
    </w:tbl>
    <w:p w14:paraId="679F5CB7">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Times New Roman" w:hAnsi="Times New Roman" w:eastAsia="方正小标宋_GBK" w:cstheme="majorBidi"/>
          <w:spacing w:val="15"/>
          <w:sz w:val="32"/>
          <w:szCs w:val="32"/>
          <w:lang w:val="en-US" w:eastAsia="zh-CN"/>
          <w14:ligatures w14:val="standardContextual"/>
        </w:rPr>
      </w:pPr>
    </w:p>
    <w:p w14:paraId="186863DE">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案由二：</w:t>
      </w:r>
      <w:r>
        <w:rPr>
          <w:rFonts w:hint="eastAsia" w:ascii="方正楷体_GBK" w:hAnsi="方正楷体_GBK" w:eastAsia="方正楷体_GBK" w:cs="方正楷体_GBK"/>
          <w:spacing w:val="15"/>
          <w:sz w:val="32"/>
          <w:szCs w:val="32"/>
          <w14:ligatures w14:val="standardContextual"/>
        </w:rPr>
        <w:t>公共场所经营者未依法取得卫生许可证擅自营业的</w:t>
      </w:r>
    </w:p>
    <w:p w14:paraId="0F9338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10E9378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卫生管理条例》第十四条第一款第（四）项：凡有下列行为之一的单位或者个人，卫生防疫机构可以根据情节轻重，给予警告、罚款、停业整顿、吊销卫生许可证的行政处罚：（四）未取得卫生许可证擅自营业，或者未办理卫生备案的。</w:t>
      </w:r>
    </w:p>
    <w:p w14:paraId="13A8754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《公共场所卫生管理条例实施细则》第三十五条第一款：</w:t>
      </w:r>
      <w:r>
        <w:rPr>
          <w:rFonts w:ascii="Times New Roman" w:hAnsi="Times New Roman" w:eastAsia="方正仿宋_GBK"/>
          <w:sz w:val="32"/>
          <w:szCs w:val="32"/>
          <w14:ligatures w14:val="standardContextual"/>
        </w:rPr>
        <w:t>对未依法取得公共场所卫生许可证擅自营业的，由县级以上地方人民政府卫生</w:t>
      </w:r>
      <w:r>
        <w:rPr>
          <w:rFonts w:hint="eastAsia" w:ascii="Times New Roman" w:hAnsi="Times New Roman" w:eastAsia="方正仿宋_GBK"/>
          <w:sz w:val="32"/>
          <w:szCs w:val="32"/>
          <w14:ligatures w14:val="standardContextual"/>
        </w:rPr>
        <w:t>计生</w:t>
      </w:r>
      <w:r>
        <w:rPr>
          <w:rFonts w:ascii="Times New Roman" w:hAnsi="Times New Roman" w:eastAsia="方正仿宋_GBK"/>
          <w:sz w:val="32"/>
          <w:szCs w:val="32"/>
          <w14:ligatures w14:val="standardContextual"/>
        </w:rPr>
        <w:t>行政部门责令限期改正，给予警告，并处以五百元以上五千元以下罚款；有下列情形之一的，处以五千元以上三万元以下罚款</w:t>
      </w:r>
      <w:r>
        <w:rPr>
          <w:rFonts w:hint="eastAsia" w:ascii="Times New Roman" w:hAnsi="Times New Roman" w:eastAsia="方正仿宋_GBK"/>
          <w:sz w:val="32"/>
          <w:szCs w:val="32"/>
          <w14:ligatures w14:val="standardContextual"/>
        </w:rPr>
        <w:t>：</w:t>
      </w:r>
      <w:r>
        <w:rPr>
          <w:rFonts w:ascii="Times New Roman" w:hAnsi="Times New Roman" w:eastAsia="方正仿宋_GBK"/>
          <w:sz w:val="32"/>
          <w:szCs w:val="32"/>
          <w14:ligatures w14:val="standardContextual"/>
        </w:rPr>
        <w:t>(一)擅自营业曾受过卫生</w:t>
      </w:r>
      <w:r>
        <w:rPr>
          <w:rFonts w:hint="eastAsia" w:ascii="Times New Roman" w:hAnsi="Times New Roman" w:eastAsia="方正仿宋_GBK"/>
          <w:sz w:val="32"/>
          <w:szCs w:val="32"/>
          <w14:ligatures w14:val="standardContextual"/>
        </w:rPr>
        <w:t>计生</w:t>
      </w:r>
      <w:r>
        <w:rPr>
          <w:rFonts w:ascii="Times New Roman" w:hAnsi="Times New Roman" w:eastAsia="方正仿宋_GBK"/>
          <w:sz w:val="32"/>
          <w:szCs w:val="32"/>
          <w14:ligatures w14:val="standardContextual"/>
        </w:rPr>
        <w:t>行政部门处罚的；(二)擅自</w:t>
      </w:r>
      <w:r>
        <w:rPr>
          <w:rFonts w:ascii="Times New Roman" w:hAnsi="Times New Roman"/>
          <w:sz w:val="32"/>
          <w:szCs w:val="32"/>
        </w:rPr>
        <w:fldChar w:fldCharType="begin"/>
      </w:r>
      <w:r>
        <w:rPr>
          <w:rFonts w:ascii="Times New Roman" w:hAnsi="Times New Roman"/>
          <w:sz w:val="32"/>
          <w:szCs w:val="32"/>
        </w:rPr>
        <w:instrText xml:space="preserve"> HYPERLINK "https://baike.baidu.com/item/%E8%90%A5%E4%B8%9A%E6%97%B6%E9%97%B4/22231844?fromModule=lemma_inlink" \t "https://baike.baidu.com/item/%E5%85%AC%E5%85%B1%E5%9C%BA%E6%89%80%E5%8D%AB%E7%94%9F%E7%AE%A1%E7%90%86%E6%9D%A1%E4%BE%8B%E5%AE%9E%E6%96%BD%E7%BB%86%E5%88%99/_blank" </w:instrText>
      </w:r>
      <w:r>
        <w:rPr>
          <w:rFonts w:ascii="Times New Roman" w:hAnsi="Times New Roman"/>
          <w:sz w:val="32"/>
          <w:szCs w:val="32"/>
        </w:rPr>
        <w:fldChar w:fldCharType="separate"/>
      </w:r>
      <w:r>
        <w:rPr>
          <w:rFonts w:ascii="Times New Roman" w:hAnsi="Times New Roman" w:eastAsia="方正仿宋_GBK"/>
          <w:sz w:val="32"/>
          <w:szCs w:val="32"/>
          <w14:ligatures w14:val="standardContextual"/>
        </w:rPr>
        <w:t>营业时间</w:t>
      </w:r>
      <w:r>
        <w:rPr>
          <w:rFonts w:ascii="Times New Roman" w:hAnsi="Times New Roman" w:eastAsia="方正仿宋_GBK"/>
          <w:sz w:val="32"/>
          <w:szCs w:val="32"/>
          <w14:ligatures w14:val="standardContextual"/>
        </w:rPr>
        <w:fldChar w:fldCharType="end"/>
      </w:r>
      <w:r>
        <w:rPr>
          <w:rFonts w:ascii="Times New Roman" w:hAnsi="Times New Roman" w:eastAsia="方正仿宋_GBK"/>
          <w:sz w:val="32"/>
          <w:szCs w:val="32"/>
          <w14:ligatures w14:val="standardContextual"/>
        </w:rPr>
        <w:t>在三个月以上的；(三)以涂改、转让、倒卖、伪造的卫生许可证擅自营业的。</w:t>
      </w:r>
    </w:p>
    <w:p w14:paraId="23045CB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12"/>
        <w:tblW w:w="880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6"/>
        <w:gridCol w:w="4650"/>
        <w:gridCol w:w="1150"/>
        <w:gridCol w:w="1769"/>
      </w:tblGrid>
      <w:tr w14:paraId="4BB8FC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7" w:hRule="atLeast"/>
        </w:trPr>
        <w:tc>
          <w:tcPr>
            <w:tcW w:w="1236" w:type="dxa"/>
            <w:vAlign w:val="center"/>
          </w:tcPr>
          <w:p w14:paraId="636E713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5800" w:type="dxa"/>
            <w:gridSpan w:val="2"/>
            <w:vAlign w:val="center"/>
          </w:tcPr>
          <w:p w14:paraId="2A11FFF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1769" w:type="dxa"/>
            <w:vAlign w:val="center"/>
          </w:tcPr>
          <w:p w14:paraId="19CB615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218E27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4" w:hRule="atLeast"/>
        </w:trPr>
        <w:tc>
          <w:tcPr>
            <w:tcW w:w="1236" w:type="dxa"/>
            <w:vMerge w:val="restart"/>
            <w:tcBorders>
              <w:bottom w:val="nil"/>
            </w:tcBorders>
            <w:vAlign w:val="center"/>
          </w:tcPr>
          <w:p w14:paraId="642EC8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71F9575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5BAA508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45C8EDE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6A53538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b w:val="0"/>
                <w:bCs w:val="0"/>
                <w:sz w:val="28"/>
                <w:szCs w:val="28"/>
                <w14:ligatures w14:val="standardContextual"/>
              </w:rPr>
              <w:t>较轻</w:t>
            </w:r>
          </w:p>
        </w:tc>
        <w:tc>
          <w:tcPr>
            <w:tcW w:w="4650" w:type="dxa"/>
            <w:vAlign w:val="center"/>
          </w:tcPr>
          <w:p w14:paraId="0161111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方正仿宋_GBK" w:hAnsi="方正仿宋_GBK" w:eastAsia="方正仿宋_GBK" w:cs="方正仿宋_GBK"/>
                <w:b w:val="0"/>
                <w:bCs w:val="0"/>
                <w:sz w:val="28"/>
                <w:szCs w:val="28"/>
                <w:lang w:val="en-US" w:eastAsia="zh-CN"/>
                <w14:ligatures w14:val="standardContextual"/>
              </w:rPr>
            </w:pPr>
            <w:r>
              <w:rPr>
                <w:rFonts w:hint="eastAsia" w:ascii="方正仿宋_GBK" w:hAnsi="方正仿宋_GBK" w:eastAsia="方正仿宋_GBK" w:cs="方正仿宋_GBK"/>
                <w:b w:val="0"/>
                <w:bCs w:val="0"/>
                <w:sz w:val="28"/>
                <w:szCs w:val="28"/>
                <w14:ligatures w14:val="standardContextual"/>
              </w:rPr>
              <w:t>对未依法取得公共场所卫生许可证</w:t>
            </w:r>
            <w:r>
              <w:rPr>
                <w:rFonts w:hint="eastAsia" w:ascii="方正仿宋_GBK" w:hAnsi="方正仿宋_GBK" w:eastAsia="方正仿宋_GBK" w:cs="方正仿宋_GBK"/>
                <w:b w:val="0"/>
                <w:bCs w:val="0"/>
                <w:sz w:val="28"/>
                <w:szCs w:val="28"/>
                <w:lang w:val="en-US" w:eastAsia="zh-CN"/>
                <w14:ligatures w14:val="standardContextual"/>
              </w:rPr>
              <w:t>或备案凭证</w:t>
            </w:r>
            <w:r>
              <w:rPr>
                <w:rFonts w:hint="eastAsia" w:ascii="方正仿宋_GBK" w:hAnsi="方正仿宋_GBK" w:eastAsia="方正仿宋_GBK" w:cs="方正仿宋_GBK"/>
                <w:b w:val="0"/>
                <w:bCs w:val="0"/>
                <w:sz w:val="28"/>
                <w:szCs w:val="28"/>
                <w14:ligatures w14:val="standardContextual"/>
              </w:rPr>
              <w:t>擅自营业时间 1 个月以下的</w:t>
            </w:r>
            <w:r>
              <w:rPr>
                <w:rFonts w:hint="eastAsia" w:ascii="方正仿宋_GBK" w:hAnsi="方正仿宋_GBK" w:eastAsia="方正仿宋_GBK" w:cs="方正仿宋_GBK"/>
                <w:b w:val="0"/>
                <w:bCs w:val="0"/>
                <w:sz w:val="28"/>
                <w:szCs w:val="28"/>
                <w:lang w:eastAsia="zh-CN"/>
                <w14:ligatures w14:val="standardContextual"/>
              </w:rPr>
              <w:t>，</w:t>
            </w:r>
          </w:p>
        </w:tc>
        <w:tc>
          <w:tcPr>
            <w:tcW w:w="1150" w:type="dxa"/>
            <w:vAlign w:val="center"/>
          </w:tcPr>
          <w:p w14:paraId="3926349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5DBFF78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一般情形</w:t>
            </w:r>
          </w:p>
        </w:tc>
        <w:tc>
          <w:tcPr>
            <w:tcW w:w="1769" w:type="dxa"/>
            <w:vAlign w:val="center"/>
          </w:tcPr>
          <w:p w14:paraId="758D42B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14:ligatures w14:val="standardContextual"/>
              </w:rPr>
              <w:t>500元≤罚款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18</w:t>
            </w:r>
            <w:r>
              <w:rPr>
                <w:rFonts w:hint="eastAsia" w:ascii="方正仿宋_GBK" w:hAnsi="方正仿宋_GBK" w:eastAsia="方正仿宋_GBK" w:cs="方正仿宋_GBK"/>
                <w:sz w:val="28"/>
                <w:szCs w:val="28"/>
                <w14:ligatures w14:val="standardContextual"/>
              </w:rPr>
              <w:t>50元</w:t>
            </w:r>
          </w:p>
        </w:tc>
      </w:tr>
      <w:tr w14:paraId="1687C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4" w:hRule="atLeast"/>
        </w:trPr>
        <w:tc>
          <w:tcPr>
            <w:tcW w:w="1236" w:type="dxa"/>
            <w:vMerge w:val="continue"/>
            <w:tcBorders>
              <w:top w:val="nil"/>
            </w:tcBorders>
            <w:vAlign w:val="center"/>
          </w:tcPr>
          <w:p w14:paraId="2D94FDD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tc>
        <w:tc>
          <w:tcPr>
            <w:tcW w:w="4650" w:type="dxa"/>
            <w:vAlign w:val="center"/>
          </w:tcPr>
          <w:p w14:paraId="5AEE0C5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擅自营业时间在 3 个月以上 6 个月以下的；或擅自营业曾受过卫生计生 行政部门处罚，且现擅自营业时间 1 个月以下的；或 以涂改、转让 、倒卖 、伪造卫生许可证擅自营业，且营业时间1 个月以下的</w:t>
            </w:r>
          </w:p>
        </w:tc>
        <w:tc>
          <w:tcPr>
            <w:tcW w:w="1150" w:type="dxa"/>
            <w:vAlign w:val="center"/>
          </w:tcPr>
          <w:p w14:paraId="7B8A343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2DC52CC6">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068A268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特殊情形</w:t>
            </w:r>
          </w:p>
        </w:tc>
        <w:tc>
          <w:tcPr>
            <w:tcW w:w="1769" w:type="dxa"/>
            <w:vAlign w:val="center"/>
          </w:tcPr>
          <w:p w14:paraId="7B9F09C5">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500</w:t>
            </w:r>
            <w:r>
              <w:rPr>
                <w:rFonts w:hint="eastAsia" w:ascii="方正仿宋_GBK" w:hAnsi="方正仿宋_GBK" w:eastAsia="方正仿宋_GBK" w:cs="方正仿宋_GBK"/>
                <w:sz w:val="28"/>
                <w:szCs w:val="28"/>
                <w:lang w:val="en-US" w:eastAsia="zh-CN"/>
                <w14:ligatures w14:val="standardContextual"/>
              </w:rPr>
              <w:t>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1250</w:t>
            </w:r>
            <w:r>
              <w:rPr>
                <w:rFonts w:hint="eastAsia" w:ascii="方正仿宋_GBK" w:hAnsi="方正仿宋_GBK" w:eastAsia="方正仿宋_GBK" w:cs="方正仿宋_GBK"/>
                <w:sz w:val="28"/>
                <w:szCs w:val="28"/>
                <w14:ligatures w14:val="standardContextual"/>
              </w:rPr>
              <w:t>0元</w:t>
            </w:r>
          </w:p>
        </w:tc>
      </w:tr>
      <w:tr w14:paraId="62BBD5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4" w:hRule="atLeast"/>
        </w:trPr>
        <w:tc>
          <w:tcPr>
            <w:tcW w:w="1236" w:type="dxa"/>
            <w:vMerge w:val="restart"/>
            <w:tcBorders>
              <w:bottom w:val="nil"/>
            </w:tcBorders>
            <w:vAlign w:val="center"/>
          </w:tcPr>
          <w:p w14:paraId="31C9DB4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00181C9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634D81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79C3FF6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60302D0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b w:val="0"/>
                <w:bCs w:val="0"/>
                <w:sz w:val="28"/>
                <w:szCs w:val="28"/>
                <w14:ligatures w14:val="standardContextual"/>
              </w:rPr>
              <w:t>一般</w:t>
            </w:r>
          </w:p>
        </w:tc>
        <w:tc>
          <w:tcPr>
            <w:tcW w:w="4650" w:type="dxa"/>
            <w:vAlign w:val="center"/>
          </w:tcPr>
          <w:p w14:paraId="2D1930C6">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擅自营业时间在 1 个月以上 2 个月以下的</w:t>
            </w:r>
          </w:p>
        </w:tc>
        <w:tc>
          <w:tcPr>
            <w:tcW w:w="1150" w:type="dxa"/>
            <w:vAlign w:val="center"/>
          </w:tcPr>
          <w:p w14:paraId="049DC91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161C882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一般情形</w:t>
            </w:r>
          </w:p>
        </w:tc>
        <w:tc>
          <w:tcPr>
            <w:tcW w:w="1769" w:type="dxa"/>
            <w:vAlign w:val="center"/>
          </w:tcPr>
          <w:p w14:paraId="09D80B7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18</w:t>
            </w:r>
            <w:r>
              <w:rPr>
                <w:rFonts w:hint="eastAsia" w:ascii="方正仿宋_GBK" w:hAnsi="方正仿宋_GBK" w:eastAsia="方正仿宋_GBK" w:cs="方正仿宋_GBK"/>
                <w:sz w:val="28"/>
                <w:szCs w:val="28"/>
                <w14:ligatures w14:val="standardContextual"/>
              </w:rPr>
              <w:t>50元≤罚款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36</w:t>
            </w:r>
            <w:r>
              <w:rPr>
                <w:rFonts w:hint="eastAsia" w:ascii="方正仿宋_GBK" w:hAnsi="方正仿宋_GBK" w:eastAsia="方正仿宋_GBK" w:cs="方正仿宋_GBK"/>
                <w:sz w:val="28"/>
                <w:szCs w:val="28"/>
                <w14:ligatures w14:val="standardContextual"/>
              </w:rPr>
              <w:t>50元</w:t>
            </w:r>
          </w:p>
        </w:tc>
      </w:tr>
      <w:tr w14:paraId="337866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4" w:hRule="atLeast"/>
        </w:trPr>
        <w:tc>
          <w:tcPr>
            <w:tcW w:w="1236" w:type="dxa"/>
            <w:vMerge w:val="continue"/>
            <w:tcBorders>
              <w:top w:val="nil"/>
            </w:tcBorders>
            <w:vAlign w:val="center"/>
          </w:tcPr>
          <w:p w14:paraId="3BBC485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tc>
        <w:tc>
          <w:tcPr>
            <w:tcW w:w="4650" w:type="dxa"/>
            <w:vAlign w:val="center"/>
          </w:tcPr>
          <w:p w14:paraId="6AE61B86">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擅自营业时间在 6 个月以上 12 个月以下的 ；或擅自营业曾受过卫生计 生行政部门处罚，且现擅自营业时间在 1 个月以上 3 个月以下的；或以涂改 、转让 、倒卖 、伪造卫生许可 证擅自营业，且营业时间在 1 个月以上 3 个月以下的</w:t>
            </w:r>
          </w:p>
        </w:tc>
        <w:tc>
          <w:tcPr>
            <w:tcW w:w="1150" w:type="dxa"/>
            <w:vAlign w:val="center"/>
          </w:tcPr>
          <w:p w14:paraId="7EBCC1D5">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4F0D261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04717F3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特殊情形</w:t>
            </w:r>
          </w:p>
        </w:tc>
        <w:tc>
          <w:tcPr>
            <w:tcW w:w="1769" w:type="dxa"/>
            <w:vAlign w:val="center"/>
          </w:tcPr>
          <w:p w14:paraId="07D4D7C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125</w:t>
            </w:r>
            <w:r>
              <w:rPr>
                <w:rFonts w:hint="eastAsia" w:ascii="方正仿宋_GBK" w:hAnsi="方正仿宋_GBK" w:eastAsia="方正仿宋_GBK" w:cs="方正仿宋_GBK"/>
                <w:sz w:val="28"/>
                <w:szCs w:val="28"/>
                <w14:ligatures w14:val="standardContextual"/>
              </w:rPr>
              <w:t>0</w:t>
            </w:r>
            <w:r>
              <w:rPr>
                <w:rFonts w:hint="eastAsia" w:ascii="方正仿宋_GBK" w:hAnsi="方正仿宋_GBK" w:eastAsia="方正仿宋_GBK" w:cs="方正仿宋_GBK"/>
                <w:sz w:val="28"/>
                <w:szCs w:val="28"/>
                <w:lang w:val="en-US" w:eastAsia="zh-CN"/>
                <w14:ligatures w14:val="standardContextual"/>
              </w:rPr>
              <w:t>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22500</w:t>
            </w:r>
            <w:r>
              <w:rPr>
                <w:rFonts w:hint="eastAsia" w:ascii="方正仿宋_GBK" w:hAnsi="方正仿宋_GBK" w:eastAsia="方正仿宋_GBK" w:cs="方正仿宋_GBK"/>
                <w:sz w:val="28"/>
                <w:szCs w:val="28"/>
                <w14:ligatures w14:val="standardContextual"/>
              </w:rPr>
              <w:t>元</w:t>
            </w:r>
          </w:p>
        </w:tc>
      </w:tr>
      <w:tr w14:paraId="2FAF96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7" w:hRule="atLeast"/>
        </w:trPr>
        <w:tc>
          <w:tcPr>
            <w:tcW w:w="1236" w:type="dxa"/>
            <w:vMerge w:val="restart"/>
            <w:vAlign w:val="center"/>
          </w:tcPr>
          <w:p w14:paraId="5A2D8F4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p>
          <w:p w14:paraId="6BFA554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b w:val="0"/>
                <w:bCs w:val="0"/>
                <w:sz w:val="28"/>
                <w:szCs w:val="28"/>
                <w14:ligatures w14:val="standardContextual"/>
              </w:rPr>
              <w:t>较重</w:t>
            </w:r>
          </w:p>
        </w:tc>
        <w:tc>
          <w:tcPr>
            <w:tcW w:w="4650" w:type="dxa"/>
            <w:vAlign w:val="center"/>
          </w:tcPr>
          <w:p w14:paraId="700BD0A7">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擅自营业时间在 2 个月以上 3 个月以下的</w:t>
            </w:r>
          </w:p>
        </w:tc>
        <w:tc>
          <w:tcPr>
            <w:tcW w:w="1150" w:type="dxa"/>
            <w:vAlign w:val="center"/>
          </w:tcPr>
          <w:p w14:paraId="331C97A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p>
          <w:p w14:paraId="1DB3EF6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b w:val="0"/>
                <w:bCs w:val="0"/>
                <w:sz w:val="28"/>
                <w:szCs w:val="28"/>
                <w14:ligatures w14:val="standardContextual"/>
              </w:rPr>
              <w:t>一般情形</w:t>
            </w:r>
          </w:p>
        </w:tc>
        <w:tc>
          <w:tcPr>
            <w:tcW w:w="1769" w:type="dxa"/>
            <w:vAlign w:val="center"/>
          </w:tcPr>
          <w:p w14:paraId="282E2FE3">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3650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5000</w:t>
            </w:r>
            <w:r>
              <w:rPr>
                <w:rFonts w:hint="eastAsia" w:ascii="方正仿宋_GBK" w:hAnsi="方正仿宋_GBK" w:eastAsia="方正仿宋_GBK" w:cs="方正仿宋_GBK"/>
                <w:sz w:val="28"/>
                <w:szCs w:val="28"/>
                <w14:ligatures w14:val="standardContextual"/>
              </w:rPr>
              <w:t>元</w:t>
            </w:r>
          </w:p>
        </w:tc>
      </w:tr>
      <w:tr w14:paraId="0DB9B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7" w:hRule="atLeast"/>
        </w:trPr>
        <w:tc>
          <w:tcPr>
            <w:tcW w:w="1236" w:type="dxa"/>
            <w:vMerge w:val="continue"/>
            <w:vAlign w:val="center"/>
          </w:tcPr>
          <w:p w14:paraId="6481165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14:ligatures w14:val="standardContextual"/>
              </w:rPr>
            </w:pPr>
          </w:p>
        </w:tc>
        <w:tc>
          <w:tcPr>
            <w:tcW w:w="4650" w:type="dxa"/>
            <w:vAlign w:val="top"/>
          </w:tcPr>
          <w:p w14:paraId="4795BDD3">
            <w:pPr>
              <w:pStyle w:val="11"/>
              <w:keepNext w:val="0"/>
              <w:keepLines w:val="0"/>
              <w:pageBreakBefore w:val="0"/>
              <w:widowControl w:val="0"/>
              <w:kinsoku/>
              <w:wordWrap/>
              <w:overflowPunct/>
              <w:topLinePunct w:val="0"/>
              <w:autoSpaceDE/>
              <w:autoSpaceDN/>
              <w:bidi w:val="0"/>
              <w:adjustRightInd/>
              <w:snapToGrid/>
              <w:spacing w:before="90" w:line="400" w:lineRule="exact"/>
              <w:ind w:left="106" w:leftChars="0" w:right="61" w:rightChars="0"/>
              <w:jc w:val="both"/>
              <w:textAlignment w:val="auto"/>
              <w:rPr>
                <w:rFonts w:hint="eastAsia" w:ascii="方正仿宋_GBK" w:hAnsi="方正仿宋_GBK" w:eastAsia="方正仿宋_GBK" w:cs="方正仿宋_GBK"/>
                <w:b w:val="0"/>
                <w:bCs w:val="0"/>
                <w:kern w:val="2"/>
                <w:sz w:val="28"/>
                <w:szCs w:val="28"/>
                <w:lang w:val="en-US" w:eastAsia="en-US" w:bidi="ar-SA"/>
                <w14:ligatures w14:val="standardContextual"/>
              </w:rPr>
            </w:pPr>
            <w:r>
              <w:rPr>
                <w:rFonts w:hint="eastAsia" w:ascii="方正仿宋_GBK" w:hAnsi="方正仿宋_GBK" w:eastAsia="方正仿宋_GBK" w:cs="方正仿宋_GBK"/>
                <w:b w:val="0"/>
                <w:bCs w:val="0"/>
                <w:kern w:val="2"/>
                <w:sz w:val="28"/>
                <w:szCs w:val="28"/>
                <w:lang w:val="en-US" w:eastAsia="zh-CN" w:bidi="ar-SA"/>
                <w14:ligatures w14:val="standardContextual"/>
              </w:rPr>
              <w:t>对未依法取得公共场所卫生许可证擅自营业时间12 个月以上的；或擅自营业曾受过卫生计生行政部门处罚，且现擅自营业时间在 3 个月以上的 ；或以涂改、转让、倒卖、伪造卫生许可证擅自营业，且营业时间在3个月以上的</w:t>
            </w:r>
          </w:p>
        </w:tc>
        <w:tc>
          <w:tcPr>
            <w:tcW w:w="1150" w:type="dxa"/>
            <w:vAlign w:val="top"/>
          </w:tcPr>
          <w:p w14:paraId="7EBAB25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val="0"/>
                <w:bCs w:val="0"/>
                <w:kern w:val="2"/>
                <w:sz w:val="28"/>
                <w:szCs w:val="28"/>
                <w:lang w:val="en-US" w:eastAsia="zh-CN" w:bidi="ar-SA"/>
                <w14:ligatures w14:val="standardContextual"/>
              </w:rPr>
            </w:pPr>
          </w:p>
          <w:p w14:paraId="102415F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val="0"/>
                <w:bCs w:val="0"/>
                <w:kern w:val="2"/>
                <w:sz w:val="28"/>
                <w:szCs w:val="28"/>
                <w:lang w:val="en-US" w:eastAsia="zh-CN" w:bidi="ar-SA"/>
                <w14:ligatures w14:val="standardContextual"/>
              </w:rPr>
            </w:pPr>
          </w:p>
          <w:p w14:paraId="5A60816F">
            <w:pPr>
              <w:pStyle w:val="11"/>
              <w:keepNext w:val="0"/>
              <w:keepLines w:val="0"/>
              <w:pageBreakBefore w:val="0"/>
              <w:widowControl w:val="0"/>
              <w:kinsoku/>
              <w:wordWrap/>
              <w:overflowPunct/>
              <w:topLinePunct w:val="0"/>
              <w:autoSpaceDE/>
              <w:autoSpaceDN/>
              <w:bidi w:val="0"/>
              <w:adjustRightInd/>
              <w:snapToGrid/>
              <w:spacing w:before="86" w:line="400" w:lineRule="exact"/>
              <w:ind w:left="113" w:leftChars="0"/>
              <w:textAlignment w:val="auto"/>
              <w:rPr>
                <w:rFonts w:hint="eastAsia" w:ascii="方正仿宋_GBK" w:hAnsi="方正仿宋_GBK" w:eastAsia="方正仿宋_GBK" w:cs="方正仿宋_GBK"/>
                <w:b w:val="0"/>
                <w:bCs w:val="0"/>
                <w:kern w:val="2"/>
                <w:sz w:val="28"/>
                <w:szCs w:val="28"/>
                <w:lang w:val="en-US" w:eastAsia="en-US" w:bidi="ar-SA"/>
                <w14:ligatures w14:val="standardContextual"/>
              </w:rPr>
            </w:pPr>
            <w:r>
              <w:rPr>
                <w:rFonts w:hint="eastAsia" w:ascii="方正仿宋_GBK" w:hAnsi="方正仿宋_GBK" w:eastAsia="方正仿宋_GBK" w:cs="方正仿宋_GBK"/>
                <w:b w:val="0"/>
                <w:bCs w:val="0"/>
                <w:kern w:val="2"/>
                <w:sz w:val="28"/>
                <w:szCs w:val="28"/>
                <w:lang w:val="en-US" w:eastAsia="zh-CN" w:bidi="ar-SA"/>
                <w14:ligatures w14:val="standardContextual"/>
              </w:rPr>
              <w:t>特殊情形</w:t>
            </w:r>
          </w:p>
        </w:tc>
        <w:tc>
          <w:tcPr>
            <w:tcW w:w="1769" w:type="dxa"/>
            <w:vAlign w:val="center"/>
          </w:tcPr>
          <w:p w14:paraId="091081D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b w:val="0"/>
                <w:bCs w:val="0"/>
                <w:kern w:val="2"/>
                <w:sz w:val="28"/>
                <w:szCs w:val="28"/>
                <w:lang w:val="en-US" w:eastAsia="en-US" w:bidi="ar-SA"/>
                <w14:ligatures w14:val="standardContextual"/>
              </w:rPr>
            </w:pPr>
            <w:r>
              <w:rPr>
                <w:rFonts w:hint="eastAsia" w:ascii="方正仿宋_GBK" w:hAnsi="方正仿宋_GBK" w:eastAsia="方正仿宋_GBK" w:cs="方正仿宋_GBK"/>
                <w:sz w:val="28"/>
                <w:szCs w:val="28"/>
                <w:lang w:val="en-US" w:eastAsia="zh-CN"/>
                <w14:ligatures w14:val="standardContextual"/>
              </w:rPr>
              <w:t>22500</w:t>
            </w:r>
            <w:r>
              <w:rPr>
                <w:rFonts w:hint="eastAsia" w:ascii="方正仿宋_GBK" w:hAnsi="方正仿宋_GBK" w:eastAsia="方正仿宋_GBK" w:cs="方正仿宋_GBK"/>
                <w:sz w:val="28"/>
                <w:szCs w:val="28"/>
                <w14:ligatures w14:val="standardContextual"/>
              </w:rPr>
              <w:t>元≤罚款≤</w:t>
            </w:r>
            <w:r>
              <w:rPr>
                <w:rFonts w:hint="eastAsia" w:ascii="方正仿宋_GBK" w:hAnsi="方正仿宋_GBK" w:eastAsia="方正仿宋_GBK" w:cs="方正仿宋_GBK"/>
                <w:sz w:val="28"/>
                <w:szCs w:val="28"/>
                <w:lang w:val="en-US" w:eastAsia="zh-CN"/>
              </w:rPr>
              <w:t>30000</w:t>
            </w:r>
            <w:r>
              <w:rPr>
                <w:rFonts w:hint="eastAsia" w:ascii="方正仿宋_GBK" w:hAnsi="方正仿宋_GBK" w:eastAsia="方正仿宋_GBK" w:cs="方正仿宋_GBK"/>
                <w:sz w:val="28"/>
                <w:szCs w:val="28"/>
                <w14:ligatures w14:val="standardContextual"/>
              </w:rPr>
              <w:t>元</w:t>
            </w:r>
          </w:p>
        </w:tc>
      </w:tr>
    </w:tbl>
    <w:p w14:paraId="512FCA0F">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ascii="Times New Roman" w:hAnsi="Times New Roman"/>
        </w:rPr>
      </w:pPr>
      <w:r>
        <w:rPr>
          <w:rFonts w:hint="eastAsia" w:ascii="Times New Roman" w:hAnsi="Times New Roman" w:eastAsia="方正黑体_GBK" w:cstheme="majorBidi"/>
          <w:spacing w:val="15"/>
          <w:sz w:val="28"/>
          <w:szCs w:val="28"/>
          <w14:ligatures w14:val="standardContextual"/>
        </w:rPr>
        <w:t xml:space="preserve">  </w:t>
      </w:r>
    </w:p>
    <w:p w14:paraId="727D9DBD">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案由三：公共场所经营者未按照规定对公共场所进行卫生检测的</w:t>
      </w:r>
    </w:p>
    <w:p w14:paraId="354A9B1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25082B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卫生管理条例》第十四条第一款第（一）项：凡有下列行为之一的单位或者个人，卫生防疫机构可以根据情节轻重，给予警告、罚款、停业整顿、吊销卫生许可证的行政处罚：（一）卫生质量不符合国家卫生标准和要求，而继续营业的；</w:t>
      </w:r>
    </w:p>
    <w:p w14:paraId="100D1A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bookmarkStart w:id="4" w:name="_Toc21924"/>
      <w:r>
        <w:rPr>
          <w:rFonts w:hint="eastAsia" w:ascii="Times New Roman" w:hAnsi="Times New Roman" w:eastAsia="方正仿宋_GBK"/>
          <w:sz w:val="32"/>
          <w:szCs w:val="32"/>
          <w14:ligatures w14:val="standardContextual"/>
        </w:rPr>
        <w:t>《公共场所卫生管理条例实施细则》第三十六条第（一）项：公共场所经营者有下列情形之一的，由县级以上地方人民政府卫生计生行政部门责令限期改正，给予警告，并可处以二千元以下罚款；逾期不改正，造成公共场所卫生质量不符合卫生标准和要求的，处以二千元以上二万元以下罚款；情节严重的，可以依法责令停业整顿，直至吊销卫生许可证：</w:t>
      </w:r>
      <w:bookmarkEnd w:id="4"/>
      <w:bookmarkStart w:id="5" w:name="_Toc16156"/>
      <w:r>
        <w:rPr>
          <w:rFonts w:hint="eastAsia" w:ascii="Times New Roman" w:hAnsi="Times New Roman" w:eastAsia="方正仿宋_GBK"/>
          <w:sz w:val="32"/>
          <w:szCs w:val="32"/>
          <w14:ligatures w14:val="standardContextual"/>
        </w:rPr>
        <w:t>（一）未按照规定对公共场所的空气、微小气候、水质、采光、照明、噪声、顾客用品用具等进行卫生检测的</w:t>
      </w:r>
      <w:bookmarkEnd w:id="5"/>
      <w:r>
        <w:rPr>
          <w:rFonts w:hint="eastAsia" w:ascii="Times New Roman" w:hAnsi="Times New Roman" w:eastAsia="方正仿宋_GBK"/>
          <w:sz w:val="32"/>
          <w:szCs w:val="32"/>
          <w14:ligatures w14:val="standardContextual"/>
        </w:rPr>
        <w:t>；</w:t>
      </w:r>
    </w:p>
    <w:p w14:paraId="3CD5D86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12"/>
        <w:tblW w:w="886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4"/>
        <w:gridCol w:w="4960"/>
        <w:gridCol w:w="1209"/>
        <w:gridCol w:w="1502"/>
      </w:tblGrid>
      <w:tr w14:paraId="342CA8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1194" w:type="dxa"/>
            <w:vAlign w:val="center"/>
          </w:tcPr>
          <w:p w14:paraId="12DE0AE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裁量阶次</w:t>
            </w:r>
          </w:p>
        </w:tc>
        <w:tc>
          <w:tcPr>
            <w:tcW w:w="6169" w:type="dxa"/>
            <w:gridSpan w:val="2"/>
            <w:vAlign w:val="center"/>
          </w:tcPr>
          <w:p w14:paraId="7DA047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适用条件</w:t>
            </w:r>
          </w:p>
        </w:tc>
        <w:tc>
          <w:tcPr>
            <w:tcW w:w="1502" w:type="dxa"/>
            <w:vAlign w:val="center"/>
          </w:tcPr>
          <w:p w14:paraId="0FA9556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具体标准</w:t>
            </w:r>
          </w:p>
        </w:tc>
      </w:tr>
      <w:tr w14:paraId="3B2A75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2" w:hRule="atLeast"/>
        </w:trPr>
        <w:tc>
          <w:tcPr>
            <w:tcW w:w="1194" w:type="dxa"/>
            <w:vMerge w:val="restart"/>
            <w:tcBorders>
              <w:bottom w:val="nil"/>
            </w:tcBorders>
            <w:vAlign w:val="center"/>
          </w:tcPr>
          <w:p w14:paraId="6E2C813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1878E78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2467DA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4E8330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56DEE32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767CF78A">
            <w:pPr>
              <w:pStyle w:val="11"/>
              <w:keepNext w:val="0"/>
              <w:keepLines w:val="0"/>
              <w:pageBreakBefore w:val="0"/>
              <w:widowControl w:val="0"/>
              <w:kinsoku/>
              <w:wordWrap/>
              <w:overflowPunct/>
              <w:topLinePunct w:val="0"/>
              <w:autoSpaceDE/>
              <w:autoSpaceDN/>
              <w:bidi w:val="0"/>
              <w:adjustRightInd/>
              <w:snapToGrid/>
              <w:spacing w:before="85" w:line="400" w:lineRule="exact"/>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6"/>
                <w:sz w:val="28"/>
                <w:szCs w:val="28"/>
              </w:rPr>
              <w:t>较轻</w:t>
            </w:r>
          </w:p>
        </w:tc>
        <w:tc>
          <w:tcPr>
            <w:tcW w:w="6169" w:type="dxa"/>
            <w:gridSpan w:val="2"/>
            <w:vAlign w:val="top"/>
          </w:tcPr>
          <w:p w14:paraId="31AD3DD1">
            <w:pPr>
              <w:pStyle w:val="11"/>
              <w:keepNext w:val="0"/>
              <w:keepLines w:val="0"/>
              <w:pageBreakBefore w:val="0"/>
              <w:widowControl w:val="0"/>
              <w:kinsoku/>
              <w:wordWrap/>
              <w:overflowPunct/>
              <w:topLinePunct w:val="0"/>
              <w:autoSpaceDE/>
              <w:autoSpaceDN/>
              <w:bidi w:val="0"/>
              <w:adjustRightInd/>
              <w:snapToGrid/>
              <w:spacing w:before="134" w:line="400" w:lineRule="exact"/>
              <w:ind w:left="106" w:right="23" w:firstLine="1"/>
              <w:jc w:val="both"/>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pacing w:val="6"/>
                <w:sz w:val="28"/>
                <w:szCs w:val="28"/>
              </w:rPr>
              <w:t>未按照规定对公共场所的物理因素</w:t>
            </w:r>
            <w:r>
              <w:rPr>
                <w:rFonts w:hint="eastAsia" w:ascii="方正仿宋_GBK" w:hAnsi="方正仿宋_GBK" w:eastAsia="方正仿宋_GBK" w:cs="方正仿宋_GBK"/>
                <w:spacing w:val="-27"/>
                <w:sz w:val="28"/>
                <w:szCs w:val="28"/>
              </w:rPr>
              <w:t xml:space="preserve"> </w:t>
            </w:r>
            <w:r>
              <w:rPr>
                <w:rFonts w:hint="eastAsia" w:ascii="方正仿宋_GBK" w:hAnsi="方正仿宋_GBK" w:eastAsia="方正仿宋_GBK" w:cs="方正仿宋_GBK"/>
                <w:spacing w:val="6"/>
                <w:sz w:val="28"/>
                <w:szCs w:val="28"/>
              </w:rPr>
              <w:t>、室内空气质量</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6"/>
                <w:sz w:val="28"/>
                <w:szCs w:val="28"/>
              </w:rPr>
              <w:t>、生活饮用水、</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0"/>
                <w:sz w:val="28"/>
                <w:szCs w:val="28"/>
              </w:rPr>
              <w:t>游泳池水（沐浴用水）</w:t>
            </w:r>
            <w:r>
              <w:rPr>
                <w:rFonts w:hint="eastAsia" w:ascii="方正仿宋_GBK" w:hAnsi="方正仿宋_GBK" w:eastAsia="方正仿宋_GBK" w:cs="方正仿宋_GBK"/>
                <w:spacing w:val="-15"/>
                <w:sz w:val="28"/>
                <w:szCs w:val="28"/>
              </w:rPr>
              <w:t xml:space="preserve"> </w:t>
            </w:r>
            <w:r>
              <w:rPr>
                <w:rFonts w:hint="eastAsia" w:ascii="方正仿宋_GBK" w:hAnsi="方正仿宋_GBK" w:eastAsia="方正仿宋_GBK" w:cs="方正仿宋_GBK"/>
                <w:spacing w:val="10"/>
                <w:sz w:val="28"/>
                <w:szCs w:val="28"/>
              </w:rPr>
              <w:t>、集中空调通风系统</w:t>
            </w:r>
            <w:r>
              <w:rPr>
                <w:rFonts w:hint="eastAsia" w:ascii="方正仿宋_GBK" w:hAnsi="方正仿宋_GBK" w:eastAsia="方正仿宋_GBK" w:cs="方正仿宋_GBK"/>
                <w:spacing w:val="-31"/>
                <w:sz w:val="28"/>
                <w:szCs w:val="28"/>
              </w:rPr>
              <w:t xml:space="preserve"> </w:t>
            </w:r>
            <w:r>
              <w:rPr>
                <w:rFonts w:hint="eastAsia" w:ascii="方正仿宋_GBK" w:hAnsi="方正仿宋_GBK" w:eastAsia="方正仿宋_GBK" w:cs="方正仿宋_GBK"/>
                <w:spacing w:val="10"/>
                <w:sz w:val="28"/>
                <w:szCs w:val="28"/>
              </w:rPr>
              <w:t>、公共用品用具等进</w:t>
            </w:r>
            <w:r>
              <w:rPr>
                <w:rFonts w:hint="eastAsia" w:ascii="方正仿宋_GBK" w:hAnsi="方正仿宋_GBK" w:eastAsia="方正仿宋_GBK" w:cs="方正仿宋_GBK"/>
                <w:spacing w:val="5"/>
                <w:sz w:val="28"/>
                <w:szCs w:val="28"/>
              </w:rPr>
              <w:t>行卫生检测</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5"/>
                <w:sz w:val="28"/>
                <w:szCs w:val="28"/>
              </w:rPr>
              <w:t>，涉及1个种类的</w:t>
            </w:r>
            <w:r>
              <w:rPr>
                <w:rFonts w:hint="eastAsia" w:ascii="方正仿宋_GBK" w:hAnsi="方正仿宋_GBK" w:eastAsia="方正仿宋_GBK" w:cs="方正仿宋_GBK"/>
                <w:spacing w:val="5"/>
                <w:sz w:val="28"/>
                <w:szCs w:val="28"/>
                <w:lang w:eastAsia="zh-CN"/>
              </w:rPr>
              <w:t>，且具有《</w:t>
            </w:r>
            <w:r>
              <w:rPr>
                <w:rFonts w:hint="eastAsia" w:ascii="方正仿宋_GBK" w:hAnsi="方正仿宋_GBK" w:eastAsia="方正仿宋_GBK" w:cs="方正仿宋_GBK"/>
                <w:spacing w:val="5"/>
                <w:sz w:val="28"/>
                <w:szCs w:val="28"/>
                <w:lang w:val="en-US" w:eastAsia="zh-CN"/>
              </w:rPr>
              <w:t>江苏省卫生健康</w:t>
            </w:r>
            <w:r>
              <w:rPr>
                <w:rFonts w:hint="eastAsia" w:ascii="方正仿宋_GBK" w:hAnsi="方正仿宋_GBK" w:eastAsia="方正仿宋_GBK" w:cs="方正仿宋_GBK"/>
                <w:spacing w:val="5"/>
                <w:sz w:val="28"/>
                <w:szCs w:val="28"/>
                <w:lang w:eastAsia="zh-CN"/>
              </w:rPr>
              <w:t>行政处罚裁量适用办法》从轻情形。</w:t>
            </w:r>
          </w:p>
        </w:tc>
        <w:tc>
          <w:tcPr>
            <w:tcW w:w="1502" w:type="dxa"/>
            <w:vAlign w:val="top"/>
          </w:tcPr>
          <w:p w14:paraId="6FF325A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294B728F">
            <w:pPr>
              <w:pStyle w:val="11"/>
              <w:keepNext w:val="0"/>
              <w:keepLines w:val="0"/>
              <w:pageBreakBefore w:val="0"/>
              <w:widowControl w:val="0"/>
              <w:kinsoku/>
              <w:wordWrap/>
              <w:overflowPunct/>
              <w:topLinePunct w:val="0"/>
              <w:autoSpaceDE/>
              <w:autoSpaceDN/>
              <w:bidi w:val="0"/>
              <w:adjustRightInd/>
              <w:snapToGrid/>
              <w:spacing w:before="86" w:line="400" w:lineRule="exact"/>
              <w:ind w:left="647"/>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警告</w:t>
            </w:r>
          </w:p>
        </w:tc>
      </w:tr>
      <w:tr w14:paraId="36832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1194" w:type="dxa"/>
            <w:vMerge w:val="continue"/>
            <w:tcBorders>
              <w:top w:val="nil"/>
              <w:bottom w:val="nil"/>
            </w:tcBorders>
            <w:vAlign w:val="center"/>
          </w:tcPr>
          <w:p w14:paraId="5312F3F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tc>
        <w:tc>
          <w:tcPr>
            <w:tcW w:w="4960" w:type="dxa"/>
            <w:vAlign w:val="top"/>
          </w:tcPr>
          <w:p w14:paraId="610E868B">
            <w:pPr>
              <w:pStyle w:val="11"/>
              <w:keepNext w:val="0"/>
              <w:keepLines w:val="0"/>
              <w:pageBreakBefore w:val="0"/>
              <w:widowControl w:val="0"/>
              <w:kinsoku/>
              <w:wordWrap/>
              <w:overflowPunct/>
              <w:topLinePunct w:val="0"/>
              <w:autoSpaceDE/>
              <w:autoSpaceDN/>
              <w:bidi w:val="0"/>
              <w:adjustRightInd/>
              <w:snapToGrid/>
              <w:spacing w:before="124" w:line="400" w:lineRule="exact"/>
              <w:ind w:left="108" w:right="104"/>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6"/>
                <w:sz w:val="28"/>
                <w:szCs w:val="28"/>
              </w:rPr>
              <w:t>未按照规定对公共场所物理因素、室内空气质量、生</w:t>
            </w:r>
            <w:r>
              <w:rPr>
                <w:rFonts w:hint="eastAsia" w:ascii="方正仿宋_GBK" w:hAnsi="方正仿宋_GBK" w:eastAsia="方正仿宋_GBK" w:cs="方正仿宋_GBK"/>
                <w:spacing w:val="3"/>
                <w:sz w:val="28"/>
                <w:szCs w:val="28"/>
              </w:rPr>
              <w:t xml:space="preserve"> </w:t>
            </w:r>
            <w:r>
              <w:rPr>
                <w:rFonts w:hint="eastAsia" w:ascii="方正仿宋_GBK" w:hAnsi="方正仿宋_GBK" w:eastAsia="方正仿宋_GBK" w:cs="方正仿宋_GBK"/>
                <w:spacing w:val="5"/>
                <w:sz w:val="28"/>
                <w:szCs w:val="28"/>
              </w:rPr>
              <w:t>活饮用水</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5"/>
                <w:sz w:val="28"/>
                <w:szCs w:val="28"/>
              </w:rPr>
              <w:t>、游泳池水（沐浴用水）、集中空调通风系</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7"/>
                <w:sz w:val="28"/>
                <w:szCs w:val="28"/>
              </w:rPr>
              <w:t>统、公共用品用具等进行卫生检测</w:t>
            </w:r>
            <w:r>
              <w:rPr>
                <w:rFonts w:hint="eastAsia" w:ascii="方正仿宋_GBK" w:hAnsi="方正仿宋_GBK" w:eastAsia="方正仿宋_GBK" w:cs="方正仿宋_GBK"/>
                <w:spacing w:val="-21"/>
                <w:sz w:val="28"/>
                <w:szCs w:val="28"/>
              </w:rPr>
              <w:t xml:space="preserve"> </w:t>
            </w:r>
            <w:r>
              <w:rPr>
                <w:rFonts w:hint="eastAsia" w:ascii="方正仿宋_GBK" w:hAnsi="方正仿宋_GBK" w:eastAsia="方正仿宋_GBK" w:cs="方正仿宋_GBK"/>
                <w:spacing w:val="7"/>
                <w:sz w:val="28"/>
                <w:szCs w:val="28"/>
              </w:rPr>
              <w:t>，涉及2个种类的</w:t>
            </w:r>
          </w:p>
        </w:tc>
        <w:tc>
          <w:tcPr>
            <w:tcW w:w="1209" w:type="dxa"/>
            <w:vAlign w:val="top"/>
          </w:tcPr>
          <w:p w14:paraId="49D14D8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0486DC7E">
            <w:pPr>
              <w:pStyle w:val="11"/>
              <w:keepNext w:val="0"/>
              <w:keepLines w:val="0"/>
              <w:pageBreakBefore w:val="0"/>
              <w:widowControl w:val="0"/>
              <w:kinsoku/>
              <w:wordWrap/>
              <w:overflowPunct/>
              <w:topLinePunct w:val="0"/>
              <w:autoSpaceDE/>
              <w:autoSpaceDN/>
              <w:bidi w:val="0"/>
              <w:adjustRightInd/>
              <w:snapToGrid/>
              <w:spacing w:before="85" w:line="400" w:lineRule="exact"/>
              <w:ind w:left="11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一般情形</w:t>
            </w:r>
          </w:p>
        </w:tc>
        <w:tc>
          <w:tcPr>
            <w:tcW w:w="1502" w:type="dxa"/>
            <w:vAlign w:val="top"/>
          </w:tcPr>
          <w:p w14:paraId="3204045B">
            <w:pPr>
              <w:pStyle w:val="11"/>
              <w:keepNext w:val="0"/>
              <w:keepLines w:val="0"/>
              <w:pageBreakBefore w:val="0"/>
              <w:widowControl w:val="0"/>
              <w:kinsoku/>
              <w:wordWrap/>
              <w:overflowPunct/>
              <w:topLinePunct w:val="0"/>
              <w:autoSpaceDE/>
              <w:autoSpaceDN/>
              <w:bidi w:val="0"/>
              <w:adjustRightInd/>
              <w:snapToGrid/>
              <w:spacing w:before="294" w:line="400" w:lineRule="exact"/>
              <w:ind w:left="109" w:right="108"/>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7"/>
                <w:sz w:val="28"/>
                <w:szCs w:val="28"/>
              </w:rPr>
              <w:t>告</w:t>
            </w:r>
            <w:r>
              <w:rPr>
                <w:rFonts w:hint="eastAsia" w:ascii="方正仿宋_GBK" w:hAnsi="方正仿宋_GBK" w:eastAsia="方正仿宋_GBK" w:cs="方正仿宋_GBK"/>
                <w:spacing w:val="-7"/>
                <w:sz w:val="28"/>
                <w:szCs w:val="28"/>
                <w:lang w:eastAsia="zh-CN"/>
              </w:rPr>
              <w:t>，</w:t>
            </w:r>
            <w:r>
              <w:rPr>
                <w:rFonts w:hint="eastAsia" w:ascii="方正仿宋_GBK" w:hAnsi="方正仿宋_GBK" w:eastAsia="方正仿宋_GBK" w:cs="方正仿宋_GBK"/>
                <w:sz w:val="28"/>
                <w:szCs w:val="28"/>
                <w14:ligatures w14:val="standardContextual"/>
              </w:rPr>
              <w:t>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600</w:t>
            </w:r>
            <w:r>
              <w:rPr>
                <w:rFonts w:hint="eastAsia" w:ascii="方正仿宋_GBK" w:hAnsi="方正仿宋_GBK" w:eastAsia="方正仿宋_GBK" w:cs="方正仿宋_GBK"/>
                <w:sz w:val="28"/>
                <w:szCs w:val="28"/>
                <w14:ligatures w14:val="standardContextual"/>
              </w:rPr>
              <w:t>元</w:t>
            </w:r>
          </w:p>
        </w:tc>
      </w:tr>
      <w:tr w14:paraId="44867D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1194" w:type="dxa"/>
            <w:vMerge w:val="continue"/>
            <w:tcBorders>
              <w:top w:val="nil"/>
            </w:tcBorders>
            <w:vAlign w:val="center"/>
          </w:tcPr>
          <w:p w14:paraId="34A0A4E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tc>
        <w:tc>
          <w:tcPr>
            <w:tcW w:w="4960" w:type="dxa"/>
            <w:vAlign w:val="top"/>
          </w:tcPr>
          <w:p w14:paraId="72E788BE">
            <w:pPr>
              <w:pStyle w:val="11"/>
              <w:keepNext w:val="0"/>
              <w:keepLines w:val="0"/>
              <w:pageBreakBefore w:val="0"/>
              <w:widowControl w:val="0"/>
              <w:kinsoku/>
              <w:wordWrap/>
              <w:overflowPunct/>
              <w:topLinePunct w:val="0"/>
              <w:autoSpaceDE/>
              <w:autoSpaceDN/>
              <w:bidi w:val="0"/>
              <w:adjustRightInd/>
              <w:snapToGrid/>
              <w:spacing w:before="87" w:line="400" w:lineRule="exact"/>
              <w:ind w:left="113" w:right="104" w:hanging="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6"/>
                <w:sz w:val="28"/>
                <w:szCs w:val="28"/>
              </w:rPr>
              <w:t>逾期不改正，造成公共场所卫生质量不符合卫生标准</w:t>
            </w:r>
            <w:r>
              <w:rPr>
                <w:rFonts w:hint="eastAsia" w:ascii="方正仿宋_GBK" w:hAnsi="方正仿宋_GBK" w:eastAsia="方正仿宋_GBK" w:cs="方正仿宋_GBK"/>
                <w:spacing w:val="2"/>
                <w:sz w:val="28"/>
                <w:szCs w:val="28"/>
              </w:rPr>
              <w:t>和要求</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2"/>
                <w:sz w:val="28"/>
                <w:szCs w:val="28"/>
              </w:rPr>
              <w:t>，涉及1项的</w:t>
            </w:r>
          </w:p>
        </w:tc>
        <w:tc>
          <w:tcPr>
            <w:tcW w:w="1209" w:type="dxa"/>
            <w:vAlign w:val="top"/>
          </w:tcPr>
          <w:p w14:paraId="49C5C48F">
            <w:pPr>
              <w:pStyle w:val="11"/>
              <w:keepNext w:val="0"/>
              <w:keepLines w:val="0"/>
              <w:pageBreakBefore w:val="0"/>
              <w:widowControl w:val="0"/>
              <w:kinsoku/>
              <w:wordWrap/>
              <w:overflowPunct/>
              <w:topLinePunct w:val="0"/>
              <w:autoSpaceDE/>
              <w:autoSpaceDN/>
              <w:bidi w:val="0"/>
              <w:adjustRightInd/>
              <w:snapToGrid/>
              <w:spacing w:before="258" w:line="400" w:lineRule="exact"/>
              <w:ind w:left="11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特殊情形</w:t>
            </w:r>
          </w:p>
        </w:tc>
        <w:tc>
          <w:tcPr>
            <w:tcW w:w="1502" w:type="dxa"/>
            <w:vAlign w:val="top"/>
          </w:tcPr>
          <w:p w14:paraId="17982EDC">
            <w:pPr>
              <w:pStyle w:val="11"/>
              <w:keepNext w:val="0"/>
              <w:keepLines w:val="0"/>
              <w:pageBreakBefore w:val="0"/>
              <w:widowControl w:val="0"/>
              <w:kinsoku/>
              <w:wordWrap/>
              <w:overflowPunct/>
              <w:topLinePunct w:val="0"/>
              <w:autoSpaceDE/>
              <w:autoSpaceDN/>
              <w:bidi w:val="0"/>
              <w:adjustRightInd/>
              <w:snapToGrid/>
              <w:spacing w:before="87" w:line="400" w:lineRule="exact"/>
              <w:ind w:left="113" w:right="107" w:hanging="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200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740</w:t>
            </w:r>
            <w:r>
              <w:rPr>
                <w:rFonts w:hint="eastAsia" w:ascii="方正仿宋_GBK" w:hAnsi="方正仿宋_GBK" w:eastAsia="方正仿宋_GBK" w:cs="方正仿宋_GBK"/>
                <w:sz w:val="28"/>
                <w:szCs w:val="28"/>
                <w14:ligatures w14:val="standardContextual"/>
              </w:rPr>
              <w:t>0元</w:t>
            </w:r>
          </w:p>
        </w:tc>
      </w:tr>
      <w:tr w14:paraId="32D81D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4" w:hRule="atLeast"/>
        </w:trPr>
        <w:tc>
          <w:tcPr>
            <w:tcW w:w="1194" w:type="dxa"/>
            <w:vMerge w:val="restart"/>
            <w:tcBorders>
              <w:bottom w:val="nil"/>
            </w:tcBorders>
            <w:vAlign w:val="center"/>
          </w:tcPr>
          <w:p w14:paraId="6413812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745EF96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348F1EC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p>
          <w:p w14:paraId="50D217BC">
            <w:pPr>
              <w:pStyle w:val="11"/>
              <w:keepNext w:val="0"/>
              <w:keepLines w:val="0"/>
              <w:pageBreakBefore w:val="0"/>
              <w:widowControl w:val="0"/>
              <w:kinsoku/>
              <w:wordWrap/>
              <w:overflowPunct/>
              <w:topLinePunct w:val="0"/>
              <w:autoSpaceDE/>
              <w:autoSpaceDN/>
              <w:bidi w:val="0"/>
              <w:adjustRightInd/>
              <w:snapToGrid/>
              <w:spacing w:before="85" w:line="400" w:lineRule="exact"/>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6"/>
                <w:sz w:val="28"/>
                <w:szCs w:val="28"/>
              </w:rPr>
              <w:t>一般</w:t>
            </w:r>
          </w:p>
        </w:tc>
        <w:tc>
          <w:tcPr>
            <w:tcW w:w="4960" w:type="dxa"/>
            <w:vAlign w:val="top"/>
          </w:tcPr>
          <w:p w14:paraId="44066490">
            <w:pPr>
              <w:pStyle w:val="11"/>
              <w:keepNext w:val="0"/>
              <w:keepLines w:val="0"/>
              <w:pageBreakBefore w:val="0"/>
              <w:widowControl w:val="0"/>
              <w:kinsoku/>
              <w:wordWrap/>
              <w:overflowPunct/>
              <w:topLinePunct w:val="0"/>
              <w:autoSpaceDE/>
              <w:autoSpaceDN/>
              <w:bidi w:val="0"/>
              <w:adjustRightInd/>
              <w:snapToGrid/>
              <w:spacing w:before="90" w:line="400" w:lineRule="exact"/>
              <w:ind w:left="109" w:right="47" w:hanging="1"/>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未按照规定对公共场所的物理因素、室内空气质量、</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6"/>
                <w:sz w:val="28"/>
                <w:szCs w:val="28"/>
              </w:rPr>
              <w:t>生活饮用水、游泳池水（沐浴用水）、集中空调通风</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系统</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6"/>
                <w:sz w:val="28"/>
                <w:szCs w:val="28"/>
              </w:rPr>
              <w:t>、公共用品用具等进行卫生检测</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6"/>
                <w:sz w:val="28"/>
                <w:szCs w:val="28"/>
              </w:rPr>
              <w:t>，涉及</w:t>
            </w:r>
            <w:r>
              <w:rPr>
                <w:rFonts w:hint="eastAsia" w:ascii="方正仿宋_GBK" w:hAnsi="方正仿宋_GBK" w:eastAsia="方正仿宋_GBK" w:cs="方正仿宋_GBK"/>
                <w:spacing w:val="5"/>
                <w:sz w:val="28"/>
                <w:szCs w:val="28"/>
              </w:rPr>
              <w:t>3个种类</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2"/>
                <w:sz w:val="28"/>
                <w:szCs w:val="28"/>
              </w:rPr>
              <w:t>的</w:t>
            </w:r>
          </w:p>
        </w:tc>
        <w:tc>
          <w:tcPr>
            <w:tcW w:w="1209" w:type="dxa"/>
            <w:vAlign w:val="top"/>
          </w:tcPr>
          <w:p w14:paraId="6B1C030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404D2D1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7761EEF7">
            <w:pPr>
              <w:pStyle w:val="11"/>
              <w:keepNext w:val="0"/>
              <w:keepLines w:val="0"/>
              <w:pageBreakBefore w:val="0"/>
              <w:widowControl w:val="0"/>
              <w:kinsoku/>
              <w:wordWrap/>
              <w:overflowPunct/>
              <w:topLinePunct w:val="0"/>
              <w:autoSpaceDE/>
              <w:autoSpaceDN/>
              <w:bidi w:val="0"/>
              <w:adjustRightInd/>
              <w:snapToGrid/>
              <w:spacing w:before="86" w:line="400" w:lineRule="exact"/>
              <w:ind w:left="11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一般情形</w:t>
            </w:r>
          </w:p>
        </w:tc>
        <w:tc>
          <w:tcPr>
            <w:tcW w:w="1502" w:type="dxa"/>
            <w:vAlign w:val="top"/>
          </w:tcPr>
          <w:p w14:paraId="116EEF57">
            <w:pPr>
              <w:pStyle w:val="11"/>
              <w:keepNext w:val="0"/>
              <w:keepLines w:val="0"/>
              <w:pageBreakBefore w:val="0"/>
              <w:widowControl w:val="0"/>
              <w:kinsoku/>
              <w:wordWrap/>
              <w:overflowPunct/>
              <w:topLinePunct w:val="0"/>
              <w:autoSpaceDE/>
              <w:autoSpaceDN/>
              <w:bidi w:val="0"/>
              <w:adjustRightInd/>
              <w:snapToGrid/>
              <w:spacing w:before="259" w:line="400" w:lineRule="exact"/>
              <w:ind w:left="109" w:right="108"/>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7"/>
                <w:sz w:val="28"/>
                <w:szCs w:val="28"/>
              </w:rPr>
              <w:t>告 ，</w:t>
            </w:r>
            <w:r>
              <w:rPr>
                <w:rFonts w:hint="eastAsia" w:ascii="方正仿宋_GBK" w:hAnsi="方正仿宋_GBK" w:eastAsia="方正仿宋_GBK" w:cs="方正仿宋_GBK"/>
                <w:spacing w:val="-27"/>
                <w:sz w:val="28"/>
                <w:szCs w:val="28"/>
              </w:rPr>
              <w:t xml:space="preserve"> </w:t>
            </w:r>
            <w:r>
              <w:rPr>
                <w:rFonts w:hint="eastAsia" w:ascii="方正仿宋_GBK" w:hAnsi="方正仿宋_GBK" w:eastAsia="方正仿宋_GBK" w:cs="方正仿宋_GBK"/>
                <w:sz w:val="28"/>
                <w:szCs w:val="28"/>
                <w:lang w:val="en-US" w:eastAsia="zh-CN"/>
                <w14:ligatures w14:val="standardContextual"/>
              </w:rPr>
              <w:t>60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140</w:t>
            </w:r>
            <w:r>
              <w:rPr>
                <w:rFonts w:hint="eastAsia" w:ascii="方正仿宋_GBK" w:hAnsi="方正仿宋_GBK" w:eastAsia="方正仿宋_GBK" w:cs="方正仿宋_GBK"/>
                <w:sz w:val="28"/>
                <w:szCs w:val="28"/>
                <w14:ligatures w14:val="standardContextual"/>
              </w:rPr>
              <w:t>0元</w:t>
            </w:r>
          </w:p>
        </w:tc>
      </w:tr>
      <w:tr w14:paraId="3203C2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7" w:hRule="atLeast"/>
        </w:trPr>
        <w:tc>
          <w:tcPr>
            <w:tcW w:w="1194" w:type="dxa"/>
            <w:vMerge w:val="continue"/>
            <w:tcBorders>
              <w:top w:val="nil"/>
              <w:bottom w:val="single" w:color="auto" w:sz="4" w:space="0"/>
            </w:tcBorders>
            <w:vAlign w:val="top"/>
          </w:tcPr>
          <w:p w14:paraId="4D3F9DF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4960" w:type="dxa"/>
            <w:vAlign w:val="top"/>
          </w:tcPr>
          <w:p w14:paraId="7633102E">
            <w:pPr>
              <w:pStyle w:val="11"/>
              <w:keepNext w:val="0"/>
              <w:keepLines w:val="0"/>
              <w:pageBreakBefore w:val="0"/>
              <w:widowControl w:val="0"/>
              <w:kinsoku/>
              <w:wordWrap/>
              <w:overflowPunct/>
              <w:topLinePunct w:val="0"/>
              <w:autoSpaceDE/>
              <w:autoSpaceDN/>
              <w:bidi w:val="0"/>
              <w:adjustRightInd/>
              <w:snapToGrid/>
              <w:spacing w:before="90" w:line="400" w:lineRule="exact"/>
              <w:ind w:left="113" w:right="104" w:hanging="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6"/>
                <w:sz w:val="28"/>
                <w:szCs w:val="28"/>
              </w:rPr>
              <w:t xml:space="preserve">逾期不改正，造成公共场所卫生质量不符合卫生标准 </w:t>
            </w:r>
            <w:r>
              <w:rPr>
                <w:rFonts w:hint="eastAsia" w:ascii="方正仿宋_GBK" w:hAnsi="方正仿宋_GBK" w:eastAsia="方正仿宋_GBK" w:cs="方正仿宋_GBK"/>
                <w:spacing w:val="2"/>
                <w:sz w:val="28"/>
                <w:szCs w:val="28"/>
              </w:rPr>
              <w:t>和要求</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2"/>
                <w:sz w:val="28"/>
                <w:szCs w:val="28"/>
              </w:rPr>
              <w:t>，涉及2项的</w:t>
            </w:r>
          </w:p>
        </w:tc>
        <w:tc>
          <w:tcPr>
            <w:tcW w:w="1209" w:type="dxa"/>
            <w:vAlign w:val="top"/>
          </w:tcPr>
          <w:p w14:paraId="5AE2F094">
            <w:pPr>
              <w:pStyle w:val="11"/>
              <w:keepNext w:val="0"/>
              <w:keepLines w:val="0"/>
              <w:pageBreakBefore w:val="0"/>
              <w:widowControl w:val="0"/>
              <w:kinsoku/>
              <w:wordWrap/>
              <w:overflowPunct/>
              <w:topLinePunct w:val="0"/>
              <w:autoSpaceDE/>
              <w:autoSpaceDN/>
              <w:bidi w:val="0"/>
              <w:adjustRightInd/>
              <w:snapToGrid/>
              <w:spacing w:before="261" w:line="400" w:lineRule="exact"/>
              <w:ind w:left="11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特殊情形</w:t>
            </w:r>
          </w:p>
        </w:tc>
        <w:tc>
          <w:tcPr>
            <w:tcW w:w="1502" w:type="dxa"/>
            <w:vAlign w:val="top"/>
          </w:tcPr>
          <w:p w14:paraId="531E3CCF">
            <w:pPr>
              <w:pStyle w:val="11"/>
              <w:keepNext w:val="0"/>
              <w:keepLines w:val="0"/>
              <w:pageBreakBefore w:val="0"/>
              <w:widowControl w:val="0"/>
              <w:kinsoku/>
              <w:wordWrap/>
              <w:overflowPunct/>
              <w:topLinePunct w:val="0"/>
              <w:autoSpaceDE/>
              <w:autoSpaceDN/>
              <w:bidi w:val="0"/>
              <w:adjustRightInd/>
              <w:snapToGrid/>
              <w:spacing w:before="90" w:line="400" w:lineRule="exact"/>
              <w:ind w:left="121" w:right="107" w:hanging="1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740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1460</w:t>
            </w:r>
            <w:r>
              <w:rPr>
                <w:rFonts w:hint="eastAsia" w:ascii="方正仿宋_GBK" w:hAnsi="方正仿宋_GBK" w:eastAsia="方正仿宋_GBK" w:cs="方正仿宋_GBK"/>
                <w:sz w:val="28"/>
                <w:szCs w:val="28"/>
                <w14:ligatures w14:val="standardContextual"/>
              </w:rPr>
              <w:t>0元</w:t>
            </w:r>
          </w:p>
        </w:tc>
      </w:tr>
      <w:tr w14:paraId="7D5225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1194" w:type="dxa"/>
            <w:vMerge w:val="restart"/>
            <w:tcBorders>
              <w:top w:val="single" w:color="auto" w:sz="4" w:space="0"/>
            </w:tcBorders>
            <w:vAlign w:val="top"/>
          </w:tcPr>
          <w:p w14:paraId="1729CDE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55491BC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0F9E86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615AC1B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4960" w:type="dxa"/>
            <w:tcBorders>
              <w:bottom w:val="single" w:color="auto" w:sz="4" w:space="0"/>
            </w:tcBorders>
            <w:vAlign w:val="top"/>
          </w:tcPr>
          <w:p w14:paraId="6C5F6D6D">
            <w:pPr>
              <w:pStyle w:val="11"/>
              <w:keepNext w:val="0"/>
              <w:keepLines w:val="0"/>
              <w:pageBreakBefore w:val="0"/>
              <w:widowControl w:val="0"/>
              <w:kinsoku/>
              <w:wordWrap/>
              <w:overflowPunct/>
              <w:topLinePunct w:val="0"/>
              <w:autoSpaceDE/>
              <w:autoSpaceDN/>
              <w:bidi w:val="0"/>
              <w:adjustRightInd/>
              <w:snapToGrid/>
              <w:spacing w:before="88" w:line="400" w:lineRule="exact"/>
              <w:ind w:left="109" w:leftChars="0" w:right="47" w:rightChars="0" w:hanging="1" w:firstLineChars="0"/>
              <w:jc w:val="both"/>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8"/>
                <w:sz w:val="28"/>
                <w:szCs w:val="28"/>
              </w:rPr>
              <w:t>未按照规定对公共场所的物理因素、室内空气质量、</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6"/>
                <w:sz w:val="28"/>
                <w:szCs w:val="28"/>
              </w:rPr>
              <w:t>生活饮用水、游泳池水（沐浴用水）、集中空调通风</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系统</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6"/>
                <w:sz w:val="28"/>
                <w:szCs w:val="28"/>
              </w:rPr>
              <w:t>、公共用品用具等进行卫生检测</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6"/>
                <w:sz w:val="28"/>
                <w:szCs w:val="28"/>
              </w:rPr>
              <w:t>，涉及</w:t>
            </w:r>
            <w:r>
              <w:rPr>
                <w:rFonts w:hint="eastAsia" w:ascii="方正仿宋_GBK" w:hAnsi="方正仿宋_GBK" w:eastAsia="方正仿宋_GBK" w:cs="方正仿宋_GBK"/>
                <w:spacing w:val="5"/>
                <w:sz w:val="28"/>
                <w:szCs w:val="28"/>
              </w:rPr>
              <w:t>4个种类</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2"/>
                <w:sz w:val="28"/>
                <w:szCs w:val="28"/>
              </w:rPr>
              <w:t>的</w:t>
            </w:r>
          </w:p>
        </w:tc>
        <w:tc>
          <w:tcPr>
            <w:tcW w:w="1209" w:type="dxa"/>
            <w:tcBorders>
              <w:bottom w:val="single" w:color="auto" w:sz="4" w:space="0"/>
            </w:tcBorders>
            <w:vAlign w:val="top"/>
          </w:tcPr>
          <w:p w14:paraId="738CAFE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1A9AE4C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493EEF0B">
            <w:pPr>
              <w:pStyle w:val="11"/>
              <w:keepNext w:val="0"/>
              <w:keepLines w:val="0"/>
              <w:pageBreakBefore w:val="0"/>
              <w:widowControl w:val="0"/>
              <w:kinsoku/>
              <w:wordWrap/>
              <w:overflowPunct/>
              <w:topLinePunct w:val="0"/>
              <w:autoSpaceDE/>
              <w:autoSpaceDN/>
              <w:bidi w:val="0"/>
              <w:adjustRightInd/>
              <w:snapToGrid/>
              <w:spacing w:before="85" w:line="400" w:lineRule="exact"/>
              <w:ind w:left="111" w:leftChars="0"/>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8"/>
                <w:sz w:val="28"/>
                <w:szCs w:val="28"/>
              </w:rPr>
              <w:t>一般情形</w:t>
            </w:r>
          </w:p>
        </w:tc>
        <w:tc>
          <w:tcPr>
            <w:tcW w:w="1502" w:type="dxa"/>
            <w:tcBorders>
              <w:bottom w:val="single" w:color="auto" w:sz="4" w:space="0"/>
            </w:tcBorders>
            <w:vAlign w:val="top"/>
          </w:tcPr>
          <w:p w14:paraId="02225571">
            <w:pPr>
              <w:pStyle w:val="11"/>
              <w:keepNext w:val="0"/>
              <w:keepLines w:val="0"/>
              <w:pageBreakBefore w:val="0"/>
              <w:widowControl w:val="0"/>
              <w:kinsoku/>
              <w:wordWrap/>
              <w:overflowPunct/>
              <w:topLinePunct w:val="0"/>
              <w:autoSpaceDE/>
              <w:autoSpaceDN/>
              <w:bidi w:val="0"/>
              <w:adjustRightInd/>
              <w:snapToGrid/>
              <w:spacing w:before="258" w:line="400" w:lineRule="exact"/>
              <w:ind w:left="109" w:leftChars="0" w:right="108" w:rightChars="0"/>
              <w:jc w:val="both"/>
              <w:textAlignment w:val="auto"/>
              <w:rPr>
                <w:rFonts w:hint="eastAsia" w:ascii="方正仿宋_GBK" w:hAnsi="方正仿宋_GBK" w:eastAsia="方正仿宋_GBK" w:cs="方正仿宋_GBK"/>
                <w:kern w:val="2"/>
                <w:sz w:val="28"/>
                <w:szCs w:val="28"/>
                <w:lang w:val="en-US" w:eastAsia="zh-CN" w:bidi="ar-SA"/>
              </w:rPr>
            </w:pPr>
            <w:r>
              <w:rPr>
                <w:rFonts w:hint="eastAsia" w:ascii="方正仿宋_GBK" w:hAnsi="方正仿宋_GBK" w:eastAsia="方正仿宋_GBK" w:cs="方正仿宋_GBK"/>
                <w:spacing w:val="-3"/>
                <w:sz w:val="28"/>
                <w:szCs w:val="28"/>
              </w:rPr>
              <w:t>警告</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3"/>
                <w:sz w:val="28"/>
                <w:szCs w:val="28"/>
              </w:rPr>
              <w:t>，</w:t>
            </w:r>
            <w:r>
              <w:rPr>
                <w:rFonts w:hint="eastAsia" w:ascii="方正仿宋_GBK" w:hAnsi="方正仿宋_GBK" w:eastAsia="方正仿宋_GBK" w:cs="方正仿宋_GBK"/>
                <w:sz w:val="28"/>
                <w:szCs w:val="28"/>
                <w:lang w:val="en-US" w:eastAsia="zh-CN"/>
                <w14:ligatures w14:val="standardContextual"/>
              </w:rPr>
              <w:t>140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lang w:val="en-US" w:eastAsia="zh-CN"/>
              </w:rPr>
              <w:t>200</w:t>
            </w:r>
            <w:r>
              <w:rPr>
                <w:rFonts w:hint="eastAsia" w:ascii="方正仿宋_GBK" w:hAnsi="方正仿宋_GBK" w:eastAsia="方正仿宋_GBK" w:cs="方正仿宋_GBK"/>
                <w:sz w:val="28"/>
                <w:szCs w:val="28"/>
                <w14:ligatures w14:val="standardContextual"/>
              </w:rPr>
              <w:t>0元</w:t>
            </w:r>
          </w:p>
        </w:tc>
      </w:tr>
      <w:tr w14:paraId="58D767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1194" w:type="dxa"/>
            <w:vMerge w:val="continue"/>
            <w:tcBorders>
              <w:bottom w:val="single" w:color="auto" w:sz="4" w:space="0"/>
            </w:tcBorders>
            <w:vAlign w:val="top"/>
          </w:tcPr>
          <w:p w14:paraId="3623D12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4960" w:type="dxa"/>
            <w:tcBorders>
              <w:top w:val="single" w:color="auto" w:sz="4" w:space="0"/>
            </w:tcBorders>
            <w:vAlign w:val="top"/>
          </w:tcPr>
          <w:p w14:paraId="5D932ACB">
            <w:pPr>
              <w:pStyle w:val="11"/>
              <w:keepNext w:val="0"/>
              <w:keepLines w:val="0"/>
              <w:pageBreakBefore w:val="0"/>
              <w:widowControl w:val="0"/>
              <w:kinsoku/>
              <w:wordWrap/>
              <w:overflowPunct/>
              <w:topLinePunct w:val="0"/>
              <w:autoSpaceDE/>
              <w:autoSpaceDN/>
              <w:bidi w:val="0"/>
              <w:adjustRightInd/>
              <w:snapToGrid/>
              <w:spacing w:before="84" w:line="400" w:lineRule="exact"/>
              <w:ind w:left="113" w:leftChars="0" w:right="104" w:rightChars="0" w:hanging="9" w:firstLineChars="0"/>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6"/>
                <w:sz w:val="28"/>
                <w:szCs w:val="28"/>
              </w:rPr>
              <w:t xml:space="preserve">逾期不改正，造成公共场所卫生质量不符合卫生标准 </w:t>
            </w:r>
            <w:r>
              <w:rPr>
                <w:rFonts w:hint="eastAsia" w:ascii="方正仿宋_GBK" w:hAnsi="方正仿宋_GBK" w:eastAsia="方正仿宋_GBK" w:cs="方正仿宋_GBK"/>
                <w:spacing w:val="2"/>
                <w:sz w:val="28"/>
                <w:szCs w:val="28"/>
              </w:rPr>
              <w:t>和要求</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2"/>
                <w:sz w:val="28"/>
                <w:szCs w:val="28"/>
              </w:rPr>
              <w:t>，涉及3项的</w:t>
            </w:r>
          </w:p>
        </w:tc>
        <w:tc>
          <w:tcPr>
            <w:tcW w:w="1209" w:type="dxa"/>
            <w:tcBorders>
              <w:top w:val="single" w:color="auto" w:sz="4" w:space="0"/>
            </w:tcBorders>
            <w:vAlign w:val="top"/>
          </w:tcPr>
          <w:p w14:paraId="0836A391">
            <w:pPr>
              <w:pStyle w:val="11"/>
              <w:keepNext w:val="0"/>
              <w:keepLines w:val="0"/>
              <w:pageBreakBefore w:val="0"/>
              <w:widowControl w:val="0"/>
              <w:kinsoku/>
              <w:wordWrap/>
              <w:overflowPunct/>
              <w:topLinePunct w:val="0"/>
              <w:autoSpaceDE/>
              <w:autoSpaceDN/>
              <w:bidi w:val="0"/>
              <w:adjustRightInd/>
              <w:snapToGrid/>
              <w:spacing w:before="256" w:line="400" w:lineRule="exact"/>
              <w:ind w:left="112" w:leftChars="0"/>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7"/>
                <w:sz w:val="28"/>
                <w:szCs w:val="28"/>
              </w:rPr>
              <w:t>特殊情形</w:t>
            </w:r>
          </w:p>
        </w:tc>
        <w:tc>
          <w:tcPr>
            <w:tcW w:w="1502" w:type="dxa"/>
            <w:tcBorders>
              <w:top w:val="single" w:color="auto" w:sz="4" w:space="0"/>
            </w:tcBorders>
            <w:vAlign w:val="top"/>
          </w:tcPr>
          <w:p w14:paraId="6F46C60E">
            <w:pPr>
              <w:pStyle w:val="11"/>
              <w:keepNext w:val="0"/>
              <w:keepLines w:val="0"/>
              <w:pageBreakBefore w:val="0"/>
              <w:widowControl w:val="0"/>
              <w:kinsoku/>
              <w:wordWrap/>
              <w:overflowPunct/>
              <w:topLinePunct w:val="0"/>
              <w:autoSpaceDE/>
              <w:autoSpaceDN/>
              <w:bidi w:val="0"/>
              <w:adjustRightInd/>
              <w:snapToGrid/>
              <w:spacing w:before="84" w:line="400" w:lineRule="exact"/>
              <w:ind w:left="111" w:leftChars="0" w:right="107" w:rightChars="0"/>
              <w:textAlignment w:val="auto"/>
              <w:rPr>
                <w:rFonts w:hint="eastAsia" w:ascii="方正仿宋_GBK" w:hAnsi="方正仿宋_GBK" w:eastAsia="方正仿宋_GBK" w:cs="方正仿宋_GBK"/>
                <w:kern w:val="2"/>
                <w:sz w:val="28"/>
                <w:szCs w:val="28"/>
                <w:lang w:val="en-US" w:eastAsia="zh-CN" w:bidi="ar-SA"/>
              </w:rPr>
            </w:pPr>
            <w:r>
              <w:rPr>
                <w:rFonts w:hint="eastAsia" w:ascii="方正仿宋_GBK" w:hAnsi="方正仿宋_GBK" w:eastAsia="方正仿宋_GBK" w:cs="方正仿宋_GBK"/>
                <w:sz w:val="28"/>
                <w:szCs w:val="28"/>
                <w:lang w:val="en-US" w:eastAsia="zh-CN"/>
                <w14:ligatures w14:val="standardContextual"/>
              </w:rPr>
              <w:t>1460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lang w:val="en-US" w:eastAsia="zh-CN"/>
              </w:rPr>
              <w:t>2000</w:t>
            </w:r>
            <w:r>
              <w:rPr>
                <w:rFonts w:hint="eastAsia" w:ascii="方正仿宋_GBK" w:hAnsi="方正仿宋_GBK" w:eastAsia="方正仿宋_GBK" w:cs="方正仿宋_GBK"/>
                <w:sz w:val="28"/>
                <w:szCs w:val="28"/>
                <w14:ligatures w14:val="standardContextual"/>
              </w:rPr>
              <w:t>0元</w:t>
            </w:r>
          </w:p>
        </w:tc>
      </w:tr>
      <w:tr w14:paraId="5C8BAF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1194" w:type="dxa"/>
            <w:vMerge w:val="restart"/>
            <w:tcBorders>
              <w:top w:val="single" w:color="auto" w:sz="4" w:space="0"/>
            </w:tcBorders>
            <w:vAlign w:val="top"/>
          </w:tcPr>
          <w:p w14:paraId="3753E0B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79D9AD0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5E6CEDD">
            <w:pPr>
              <w:pStyle w:val="11"/>
              <w:keepNext w:val="0"/>
              <w:keepLines w:val="0"/>
              <w:pageBreakBefore w:val="0"/>
              <w:widowControl w:val="0"/>
              <w:kinsoku/>
              <w:wordWrap/>
              <w:overflowPunct/>
              <w:topLinePunct w:val="0"/>
              <w:autoSpaceDE/>
              <w:autoSpaceDN/>
              <w:bidi w:val="0"/>
              <w:adjustRightInd/>
              <w:snapToGrid/>
              <w:spacing w:before="86" w:line="400" w:lineRule="exact"/>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7"/>
                <w:sz w:val="28"/>
                <w:szCs w:val="28"/>
              </w:rPr>
              <w:t>严重</w:t>
            </w:r>
          </w:p>
        </w:tc>
        <w:tc>
          <w:tcPr>
            <w:tcW w:w="4960" w:type="dxa"/>
            <w:tcBorders>
              <w:bottom w:val="single" w:color="auto" w:sz="4" w:space="0"/>
            </w:tcBorders>
            <w:vAlign w:val="top"/>
          </w:tcPr>
          <w:p w14:paraId="7C189D4D">
            <w:pPr>
              <w:pStyle w:val="11"/>
              <w:keepNext w:val="0"/>
              <w:keepLines w:val="0"/>
              <w:pageBreakBefore w:val="0"/>
              <w:widowControl w:val="0"/>
              <w:kinsoku/>
              <w:wordWrap/>
              <w:overflowPunct/>
              <w:topLinePunct w:val="0"/>
              <w:autoSpaceDE/>
              <w:autoSpaceDN/>
              <w:bidi w:val="0"/>
              <w:adjustRightInd/>
              <w:snapToGrid/>
              <w:spacing w:before="87" w:line="400" w:lineRule="exact"/>
              <w:ind w:left="106" w:leftChars="0" w:right="106" w:rightChars="0" w:hanging="2" w:firstLineChars="0"/>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8"/>
                <w:sz w:val="28"/>
                <w:szCs w:val="28"/>
              </w:rPr>
              <w:t>逾期不改正，造成公共场所卫生质量4项以上不符合卫生标准和要</w:t>
            </w:r>
            <w:r>
              <w:rPr>
                <w:rFonts w:hint="eastAsia" w:ascii="方正仿宋_GBK" w:hAnsi="方正仿宋_GBK" w:eastAsia="方正仿宋_GBK" w:cs="方正仿宋_GBK"/>
                <w:spacing w:val="9"/>
                <w:sz w:val="28"/>
                <w:szCs w:val="28"/>
              </w:rPr>
              <w:t>求或经卫生</w:t>
            </w:r>
            <w:r>
              <w:rPr>
                <w:rFonts w:hint="eastAsia" w:ascii="方正仿宋_GBK" w:hAnsi="方正仿宋_GBK" w:eastAsia="方正仿宋_GBK" w:cs="方正仿宋_GBK"/>
                <w:spacing w:val="9"/>
                <w:sz w:val="28"/>
                <w:szCs w:val="28"/>
                <w:lang w:val="en-US" w:eastAsia="zh-CN"/>
              </w:rPr>
              <w:t>健康</w:t>
            </w:r>
            <w:r>
              <w:rPr>
                <w:rFonts w:hint="eastAsia" w:ascii="方正仿宋_GBK" w:hAnsi="方正仿宋_GBK" w:eastAsia="方正仿宋_GBK" w:cs="方正仿宋_GBK"/>
                <w:spacing w:val="9"/>
                <w:sz w:val="28"/>
                <w:szCs w:val="28"/>
              </w:rPr>
              <w:t>行政部门检测有毒性指标超标的</w:t>
            </w:r>
          </w:p>
        </w:tc>
        <w:tc>
          <w:tcPr>
            <w:tcW w:w="2711" w:type="dxa"/>
            <w:gridSpan w:val="2"/>
            <w:tcBorders>
              <w:bottom w:val="single" w:color="auto" w:sz="4" w:space="0"/>
            </w:tcBorders>
            <w:vAlign w:val="top"/>
          </w:tcPr>
          <w:p w14:paraId="12084F6A">
            <w:pPr>
              <w:pStyle w:val="11"/>
              <w:keepNext w:val="0"/>
              <w:keepLines w:val="0"/>
              <w:pageBreakBefore w:val="0"/>
              <w:widowControl w:val="0"/>
              <w:kinsoku/>
              <w:wordWrap/>
              <w:overflowPunct/>
              <w:topLinePunct w:val="0"/>
              <w:autoSpaceDE/>
              <w:autoSpaceDN/>
              <w:bidi w:val="0"/>
              <w:adjustRightInd/>
              <w:snapToGrid/>
              <w:spacing w:before="90" w:line="400" w:lineRule="exact"/>
              <w:ind w:left="121" w:right="107" w:hanging="10"/>
              <w:textAlignment w:val="auto"/>
              <w:rPr>
                <w:rFonts w:hint="eastAsia" w:ascii="方正仿宋_GBK" w:hAnsi="方正仿宋_GBK" w:eastAsia="方正仿宋_GBK" w:cs="方正仿宋_GBK"/>
                <w:sz w:val="28"/>
                <w:szCs w:val="28"/>
                <w:lang w:val="en-US" w:eastAsia="zh-CN"/>
                <w14:ligatures w14:val="standardContextual"/>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2</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spacing w:val="8"/>
                <w:sz w:val="28"/>
                <w:szCs w:val="28"/>
              </w:rPr>
              <w:t>责令停业整顿</w:t>
            </w:r>
          </w:p>
        </w:tc>
      </w:tr>
      <w:tr w14:paraId="5C3AA9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194" w:type="dxa"/>
            <w:vMerge w:val="continue"/>
            <w:vAlign w:val="top"/>
          </w:tcPr>
          <w:p w14:paraId="28B74BD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4960" w:type="dxa"/>
            <w:tcBorders>
              <w:top w:val="single" w:color="auto" w:sz="4" w:space="0"/>
            </w:tcBorders>
            <w:vAlign w:val="top"/>
          </w:tcPr>
          <w:p w14:paraId="09FDFFBB">
            <w:pPr>
              <w:pStyle w:val="11"/>
              <w:keepNext w:val="0"/>
              <w:keepLines w:val="0"/>
              <w:pageBreakBefore w:val="0"/>
              <w:widowControl w:val="0"/>
              <w:kinsoku/>
              <w:wordWrap/>
              <w:overflowPunct/>
              <w:topLinePunct w:val="0"/>
              <w:autoSpaceDE/>
              <w:autoSpaceDN/>
              <w:bidi w:val="0"/>
              <w:adjustRightInd/>
              <w:snapToGrid/>
              <w:spacing w:before="88" w:line="400" w:lineRule="exact"/>
              <w:ind w:left="107" w:leftChars="0" w:right="286" w:rightChars="0" w:firstLine="2" w:firstLineChars="0"/>
              <w:textAlignment w:val="auto"/>
              <w:rPr>
                <w:rFonts w:hint="eastAsia" w:ascii="方正仿宋_GBK" w:hAnsi="方正仿宋_GBK" w:eastAsia="方正仿宋_GBK" w:cs="方正仿宋_GBK"/>
                <w:kern w:val="2"/>
                <w:sz w:val="28"/>
                <w:szCs w:val="28"/>
                <w:lang w:val="en-US" w:eastAsia="en-US" w:bidi="ar-SA"/>
              </w:rPr>
            </w:pPr>
            <w:r>
              <w:rPr>
                <w:rFonts w:hint="eastAsia" w:ascii="方正仿宋_GBK" w:hAnsi="方正仿宋_GBK" w:eastAsia="方正仿宋_GBK" w:cs="方正仿宋_GBK"/>
                <w:spacing w:val="9"/>
                <w:sz w:val="28"/>
                <w:szCs w:val="28"/>
              </w:rPr>
              <w:t>经检测有毒性指标超标3倍以上或毒性指标超标已发生明</w:t>
            </w:r>
            <w:r>
              <w:rPr>
                <w:rFonts w:hint="eastAsia" w:ascii="方正仿宋_GBK" w:hAnsi="方正仿宋_GBK" w:eastAsia="方正仿宋_GBK" w:cs="方正仿宋_GBK"/>
                <w:spacing w:val="8"/>
                <w:sz w:val="28"/>
                <w:szCs w:val="28"/>
              </w:rPr>
              <w:t>确的人</w:t>
            </w:r>
            <w:r>
              <w:rPr>
                <w:rFonts w:hint="eastAsia" w:ascii="方正仿宋_GBK" w:hAnsi="方正仿宋_GBK" w:eastAsia="方正仿宋_GBK" w:cs="方正仿宋_GBK"/>
                <w:spacing w:val="9"/>
                <w:sz w:val="28"/>
                <w:szCs w:val="28"/>
              </w:rPr>
              <w:t>体危害健康事故或者经停业整顿后仍检测不合格的</w:t>
            </w:r>
          </w:p>
        </w:tc>
        <w:tc>
          <w:tcPr>
            <w:tcW w:w="2711" w:type="dxa"/>
            <w:gridSpan w:val="2"/>
            <w:tcBorders>
              <w:top w:val="single" w:color="auto" w:sz="4" w:space="0"/>
            </w:tcBorders>
            <w:vAlign w:val="top"/>
          </w:tcPr>
          <w:p w14:paraId="5CCDEEA3">
            <w:pPr>
              <w:pStyle w:val="11"/>
              <w:keepNext w:val="0"/>
              <w:keepLines w:val="0"/>
              <w:pageBreakBefore w:val="0"/>
              <w:widowControl w:val="0"/>
              <w:kinsoku/>
              <w:wordWrap/>
              <w:overflowPunct/>
              <w:topLinePunct w:val="0"/>
              <w:autoSpaceDE/>
              <w:autoSpaceDN/>
              <w:bidi w:val="0"/>
              <w:adjustRightInd/>
              <w:snapToGrid/>
              <w:spacing w:before="90" w:line="400" w:lineRule="exact"/>
              <w:ind w:left="121" w:right="107" w:hanging="10"/>
              <w:textAlignment w:val="auto"/>
              <w:rPr>
                <w:rFonts w:hint="eastAsia" w:ascii="方正仿宋_GBK" w:hAnsi="方正仿宋_GBK" w:eastAsia="方正仿宋_GBK" w:cs="方正仿宋_GBK"/>
                <w:sz w:val="28"/>
                <w:szCs w:val="28"/>
                <w:lang w:val="en-US" w:eastAsia="zh-CN"/>
                <w14:ligatures w14:val="standardContextual"/>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2</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spacing w:val="5"/>
                <w:sz w:val="28"/>
                <w:szCs w:val="28"/>
              </w:rPr>
              <w:t>吊销卫生许可证</w:t>
            </w:r>
          </w:p>
        </w:tc>
      </w:tr>
    </w:tbl>
    <w:p w14:paraId="353650D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三、说明</w:t>
      </w:r>
    </w:p>
    <w:p w14:paraId="68205B3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参照 GB37488-2019《公共场所卫生指标及限制要求》，将卫生检测指标种类分为物理因 素、室内空气质量 、生活饮用水 、游泳池水（沐浴用水） 、集中空调通风系统 、公共用品用具等 6  类。</w:t>
      </w:r>
    </w:p>
    <w:p w14:paraId="2BF3343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实际执法中,主要针对公共场所是否开展年度卫生检测进行监督检查,检测项目为GB37488-2019《公共场所卫生指标及限值要求》中强制指标。</w:t>
      </w:r>
    </w:p>
    <w:p w14:paraId="152B9751">
      <w:pPr>
        <w:pStyle w:val="2"/>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Times New Roman" w:hAnsi="Times New Roman"/>
          <w:lang w:val="en-US"/>
        </w:rPr>
      </w:pPr>
    </w:p>
    <w:p w14:paraId="07ACDEE1">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案由四：公共场所经营者未按照规定对顾客用品用具进行清洗、消毒、保洁，或者重复使用一次性用品用具的</w:t>
      </w:r>
    </w:p>
    <w:p w14:paraId="7774B93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34DAFE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卫生管理条例》第十四条第一款第（一）项：凡有下列行为之一的单位或者个人，卫生防疫机构可以根据情节轻重，给予警告、罚款、停业整顿、吊销卫生许可证的行政处罚：（一）卫生质量不符合国家卫生标准和要求，而继续营业的；</w:t>
      </w:r>
    </w:p>
    <w:p w14:paraId="08EF6FA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卫生管理条例实施细则》第三十六条第（二）项：公共场所经营者有下列情形之一的，由县级以上地方人民政府卫生行政部门责令限期改正，给予警告，并可处以二千元以下罚款；逾期不改正，造成公共场所卫生质量不符合卫生计生标准和要求的，处以二千元以上二万元以下罚款；情节严重的，可以依法责令停业整顿，直至吊销卫生许可证：</w:t>
      </w:r>
    </w:p>
    <w:p w14:paraId="451E3A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（二）未按照规定对顾客用品用具进行清洗、消毒、保洁，或者重复使用一次性用品用具的。</w:t>
      </w:r>
    </w:p>
    <w:p w14:paraId="1FDA790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楷体_GBK" w:hAnsi="方正楷体_GBK" w:eastAsia="方正楷体_GBK" w:cs="方正楷体_GBK"/>
          <w:b w:val="0"/>
          <w:bCs/>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r>
        <w:rPr>
          <w:rFonts w:hint="eastAsia" w:ascii="方正楷体_GBK" w:hAnsi="方正楷体_GBK" w:eastAsia="方正楷体_GBK" w:cs="方正楷体_GBK"/>
          <w:b w:val="0"/>
          <w:bCs/>
          <w:color w:val="auto"/>
          <w:sz w:val="32"/>
          <w:szCs w:val="32"/>
          <w:lang w:val="en-US" w:eastAsia="zh-CN"/>
        </w:rPr>
        <w:t xml:space="preserve">  </w:t>
      </w:r>
    </w:p>
    <w:tbl>
      <w:tblPr>
        <w:tblStyle w:val="12"/>
        <w:tblW w:w="879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89"/>
        <w:gridCol w:w="3305"/>
        <w:gridCol w:w="1212"/>
        <w:gridCol w:w="2989"/>
      </w:tblGrid>
      <w:tr w14:paraId="2619AE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1289" w:type="dxa"/>
            <w:vAlign w:val="center"/>
          </w:tcPr>
          <w:p w14:paraId="74CF226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裁量阶次</w:t>
            </w:r>
          </w:p>
        </w:tc>
        <w:tc>
          <w:tcPr>
            <w:tcW w:w="4517" w:type="dxa"/>
            <w:gridSpan w:val="2"/>
            <w:vAlign w:val="center"/>
          </w:tcPr>
          <w:p w14:paraId="26F6054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适用条件</w:t>
            </w:r>
          </w:p>
        </w:tc>
        <w:tc>
          <w:tcPr>
            <w:tcW w:w="2989" w:type="dxa"/>
            <w:vAlign w:val="center"/>
          </w:tcPr>
          <w:p w14:paraId="3F76985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14:ligatures w14:val="standardContextual"/>
              </w:rPr>
              <w:t>具体标准</w:t>
            </w:r>
          </w:p>
        </w:tc>
      </w:tr>
      <w:tr w14:paraId="44BAA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1289" w:type="dxa"/>
            <w:vMerge w:val="restart"/>
            <w:tcBorders>
              <w:bottom w:val="nil"/>
            </w:tcBorders>
            <w:vAlign w:val="top"/>
          </w:tcPr>
          <w:p w14:paraId="4903A6C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AD7FBB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9A2A5D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41C9017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1B2BA3D6">
            <w:pPr>
              <w:pStyle w:val="11"/>
              <w:keepNext w:val="0"/>
              <w:keepLines w:val="0"/>
              <w:pageBreakBefore w:val="0"/>
              <w:widowControl w:val="0"/>
              <w:kinsoku/>
              <w:wordWrap/>
              <w:overflowPunct/>
              <w:topLinePunct w:val="0"/>
              <w:autoSpaceDE/>
              <w:autoSpaceDN/>
              <w:bidi w:val="0"/>
              <w:adjustRightInd/>
              <w:snapToGrid/>
              <w:spacing w:before="86"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6"/>
                <w:sz w:val="28"/>
                <w:szCs w:val="28"/>
              </w:rPr>
              <w:t>较轻</w:t>
            </w:r>
          </w:p>
        </w:tc>
        <w:tc>
          <w:tcPr>
            <w:tcW w:w="4517" w:type="dxa"/>
            <w:gridSpan w:val="2"/>
            <w:vAlign w:val="top"/>
          </w:tcPr>
          <w:p w14:paraId="3C190C3C">
            <w:pPr>
              <w:pStyle w:val="11"/>
              <w:keepNext w:val="0"/>
              <w:keepLines w:val="0"/>
              <w:pageBreakBefore w:val="0"/>
              <w:widowControl w:val="0"/>
              <w:kinsoku/>
              <w:wordWrap/>
              <w:overflowPunct/>
              <w:topLinePunct w:val="0"/>
              <w:autoSpaceDE/>
              <w:autoSpaceDN/>
              <w:bidi w:val="0"/>
              <w:adjustRightInd/>
              <w:snapToGrid/>
              <w:spacing w:before="193" w:line="400" w:lineRule="exact"/>
              <w:ind w:left="11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5"/>
                <w:sz w:val="28"/>
                <w:szCs w:val="28"/>
              </w:rPr>
              <w:t>涉及1种用品用具的</w:t>
            </w:r>
            <w:r>
              <w:rPr>
                <w:rFonts w:hint="eastAsia" w:ascii="方正仿宋_GBK" w:hAnsi="方正仿宋_GBK" w:eastAsia="方正仿宋_GBK" w:cs="方正仿宋_GBK"/>
                <w:spacing w:val="-19"/>
                <w:sz w:val="28"/>
                <w:szCs w:val="28"/>
              </w:rPr>
              <w:t xml:space="preserve"> </w:t>
            </w:r>
            <w:r>
              <w:rPr>
                <w:rFonts w:hint="eastAsia" w:ascii="方正仿宋_GBK" w:hAnsi="方正仿宋_GBK" w:eastAsia="方正仿宋_GBK" w:cs="方正仿宋_GBK"/>
                <w:spacing w:val="5"/>
                <w:sz w:val="28"/>
                <w:szCs w:val="28"/>
              </w:rPr>
              <w:t>，且数量在5件以下的</w:t>
            </w:r>
          </w:p>
        </w:tc>
        <w:tc>
          <w:tcPr>
            <w:tcW w:w="2989" w:type="dxa"/>
            <w:vAlign w:val="top"/>
          </w:tcPr>
          <w:p w14:paraId="01A2F14D">
            <w:pPr>
              <w:pStyle w:val="11"/>
              <w:keepNext w:val="0"/>
              <w:keepLines w:val="0"/>
              <w:pageBreakBefore w:val="0"/>
              <w:widowControl w:val="0"/>
              <w:kinsoku/>
              <w:wordWrap/>
              <w:overflowPunct/>
              <w:topLinePunct w:val="0"/>
              <w:autoSpaceDE/>
              <w:autoSpaceDN/>
              <w:bidi w:val="0"/>
              <w:adjustRightInd/>
              <w:snapToGrid/>
              <w:spacing w:before="193" w:line="400" w:lineRule="exact"/>
              <w:ind w:left="1424"/>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警告</w:t>
            </w:r>
          </w:p>
        </w:tc>
      </w:tr>
      <w:tr w14:paraId="3661C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1289" w:type="dxa"/>
            <w:vMerge w:val="continue"/>
            <w:tcBorders>
              <w:top w:val="nil"/>
              <w:bottom w:val="nil"/>
            </w:tcBorders>
            <w:vAlign w:val="top"/>
          </w:tcPr>
          <w:p w14:paraId="5DB0AAF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3305" w:type="dxa"/>
            <w:vAlign w:val="top"/>
          </w:tcPr>
          <w:p w14:paraId="0339E91D">
            <w:pPr>
              <w:pStyle w:val="11"/>
              <w:keepNext w:val="0"/>
              <w:keepLines w:val="0"/>
              <w:pageBreakBefore w:val="0"/>
              <w:widowControl w:val="0"/>
              <w:kinsoku/>
              <w:wordWrap/>
              <w:overflowPunct/>
              <w:topLinePunct w:val="0"/>
              <w:autoSpaceDE/>
              <w:autoSpaceDN/>
              <w:bidi w:val="0"/>
              <w:adjustRightInd/>
              <w:snapToGrid/>
              <w:spacing w:before="115" w:line="400" w:lineRule="exact"/>
              <w:ind w:left="109" w:right="256" w:firstLine="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3"/>
                <w:sz w:val="28"/>
                <w:szCs w:val="28"/>
              </w:rPr>
              <w:t>涉及1种用品用具的</w:t>
            </w:r>
            <w:r>
              <w:rPr>
                <w:rFonts w:hint="eastAsia" w:ascii="方正仿宋_GBK" w:hAnsi="方正仿宋_GBK" w:eastAsia="方正仿宋_GBK" w:cs="方正仿宋_GBK"/>
                <w:spacing w:val="-8"/>
                <w:sz w:val="28"/>
                <w:szCs w:val="28"/>
              </w:rPr>
              <w:t xml:space="preserve"> </w:t>
            </w:r>
            <w:r>
              <w:rPr>
                <w:rFonts w:hint="eastAsia" w:ascii="方正仿宋_GBK" w:hAnsi="方正仿宋_GBK" w:eastAsia="方正仿宋_GBK" w:cs="方正仿宋_GBK"/>
                <w:spacing w:val="3"/>
                <w:sz w:val="28"/>
                <w:szCs w:val="28"/>
              </w:rPr>
              <w:t>，且数量在5</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8"/>
                <w:sz w:val="28"/>
                <w:szCs w:val="28"/>
              </w:rPr>
              <w:t>件以上的</w:t>
            </w:r>
          </w:p>
        </w:tc>
        <w:tc>
          <w:tcPr>
            <w:tcW w:w="1212" w:type="dxa"/>
            <w:vAlign w:val="top"/>
          </w:tcPr>
          <w:p w14:paraId="4185BA8B">
            <w:pPr>
              <w:pStyle w:val="11"/>
              <w:keepNext w:val="0"/>
              <w:keepLines w:val="0"/>
              <w:pageBreakBefore w:val="0"/>
              <w:widowControl w:val="0"/>
              <w:kinsoku/>
              <w:wordWrap/>
              <w:overflowPunct/>
              <w:topLinePunct w:val="0"/>
              <w:autoSpaceDE/>
              <w:autoSpaceDN/>
              <w:bidi w:val="0"/>
              <w:adjustRightInd/>
              <w:snapToGrid/>
              <w:spacing w:before="285" w:line="400" w:lineRule="exact"/>
              <w:ind w:left="11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一般情形</w:t>
            </w:r>
          </w:p>
        </w:tc>
        <w:tc>
          <w:tcPr>
            <w:tcW w:w="2989" w:type="dxa"/>
            <w:vAlign w:val="center"/>
          </w:tcPr>
          <w:p w14:paraId="737A7852">
            <w:pPr>
              <w:pStyle w:val="11"/>
              <w:keepNext w:val="0"/>
              <w:keepLines w:val="0"/>
              <w:pageBreakBefore w:val="0"/>
              <w:widowControl w:val="0"/>
              <w:kinsoku/>
              <w:wordWrap/>
              <w:overflowPunct/>
              <w:topLinePunct w:val="0"/>
              <w:autoSpaceDE/>
              <w:autoSpaceDN/>
              <w:bidi w:val="0"/>
              <w:adjustRightInd/>
              <w:snapToGrid/>
              <w:spacing w:before="294" w:line="400" w:lineRule="exact"/>
              <w:ind w:left="109" w:leftChars="0" w:right="108" w:right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7"/>
                <w:sz w:val="28"/>
                <w:szCs w:val="28"/>
              </w:rPr>
              <w:t>告</w:t>
            </w:r>
            <w:r>
              <w:rPr>
                <w:rFonts w:hint="eastAsia" w:ascii="方正仿宋_GBK" w:hAnsi="方正仿宋_GBK" w:eastAsia="方正仿宋_GBK" w:cs="方正仿宋_GBK"/>
                <w:spacing w:val="-7"/>
                <w:sz w:val="28"/>
                <w:szCs w:val="28"/>
                <w:lang w:eastAsia="zh-CN"/>
              </w:rPr>
              <w:t>，</w:t>
            </w:r>
            <w:r>
              <w:rPr>
                <w:rFonts w:hint="eastAsia" w:ascii="方正仿宋_GBK" w:hAnsi="方正仿宋_GBK" w:eastAsia="方正仿宋_GBK" w:cs="方正仿宋_GBK"/>
                <w:sz w:val="28"/>
                <w:szCs w:val="28"/>
                <w14:ligatures w14:val="standardContextual"/>
              </w:rPr>
              <w:t>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600</w:t>
            </w:r>
            <w:r>
              <w:rPr>
                <w:rFonts w:hint="eastAsia" w:ascii="方正仿宋_GBK" w:hAnsi="方正仿宋_GBK" w:eastAsia="方正仿宋_GBK" w:cs="方正仿宋_GBK"/>
                <w:sz w:val="28"/>
                <w:szCs w:val="28"/>
                <w14:ligatures w14:val="standardContextual"/>
              </w:rPr>
              <w:t>元</w:t>
            </w:r>
          </w:p>
        </w:tc>
      </w:tr>
      <w:tr w14:paraId="5AD2D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3" w:hRule="atLeast"/>
        </w:trPr>
        <w:tc>
          <w:tcPr>
            <w:tcW w:w="1289" w:type="dxa"/>
            <w:vMerge w:val="continue"/>
            <w:tcBorders>
              <w:top w:val="nil"/>
            </w:tcBorders>
            <w:vAlign w:val="top"/>
          </w:tcPr>
          <w:p w14:paraId="1A913AE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3305" w:type="dxa"/>
            <w:vAlign w:val="top"/>
          </w:tcPr>
          <w:p w14:paraId="1FBD1339">
            <w:pPr>
              <w:pStyle w:val="11"/>
              <w:keepNext w:val="0"/>
              <w:keepLines w:val="0"/>
              <w:pageBreakBefore w:val="0"/>
              <w:widowControl w:val="0"/>
              <w:kinsoku/>
              <w:wordWrap/>
              <w:overflowPunct/>
              <w:topLinePunct w:val="0"/>
              <w:autoSpaceDE/>
              <w:autoSpaceDN/>
              <w:bidi w:val="0"/>
              <w:adjustRightInd/>
              <w:snapToGrid/>
              <w:spacing w:before="86" w:line="400" w:lineRule="exact"/>
              <w:ind w:left="107" w:right="106" w:hanging="2"/>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5"/>
                <w:sz w:val="28"/>
                <w:szCs w:val="28"/>
              </w:rPr>
              <w:t>逾期不改正，造成公共场所卫生质</w:t>
            </w:r>
            <w:r>
              <w:rPr>
                <w:rFonts w:hint="eastAsia" w:ascii="方正仿宋_GBK" w:hAnsi="方正仿宋_GBK" w:eastAsia="方正仿宋_GBK" w:cs="方正仿宋_GBK"/>
                <w:spacing w:val="11"/>
                <w:sz w:val="28"/>
                <w:szCs w:val="28"/>
              </w:rPr>
              <w:t xml:space="preserve"> </w:t>
            </w:r>
            <w:r>
              <w:rPr>
                <w:rFonts w:hint="eastAsia" w:ascii="方正仿宋_GBK" w:hAnsi="方正仿宋_GBK" w:eastAsia="方正仿宋_GBK" w:cs="方正仿宋_GBK"/>
                <w:spacing w:val="5"/>
                <w:sz w:val="28"/>
                <w:szCs w:val="28"/>
              </w:rPr>
              <w:t>量不符合卫生标准和要求</w:t>
            </w:r>
            <w:r>
              <w:rPr>
                <w:rFonts w:hint="eastAsia" w:ascii="方正仿宋_GBK" w:hAnsi="方正仿宋_GBK" w:eastAsia="方正仿宋_GBK" w:cs="方正仿宋_GBK"/>
                <w:spacing w:val="-13"/>
                <w:sz w:val="28"/>
                <w:szCs w:val="28"/>
              </w:rPr>
              <w:t xml:space="preserve"> </w:t>
            </w:r>
            <w:r>
              <w:rPr>
                <w:rFonts w:hint="eastAsia" w:ascii="方正仿宋_GBK" w:hAnsi="方正仿宋_GBK" w:eastAsia="方正仿宋_GBK" w:cs="方正仿宋_GBK"/>
                <w:spacing w:val="5"/>
                <w:sz w:val="28"/>
                <w:szCs w:val="28"/>
              </w:rPr>
              <w:t>，涉及1</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项的</w:t>
            </w:r>
          </w:p>
        </w:tc>
        <w:tc>
          <w:tcPr>
            <w:tcW w:w="1212" w:type="dxa"/>
            <w:vAlign w:val="top"/>
          </w:tcPr>
          <w:p w14:paraId="552BD82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47BF5AE1">
            <w:pPr>
              <w:pStyle w:val="11"/>
              <w:keepNext w:val="0"/>
              <w:keepLines w:val="0"/>
              <w:pageBreakBefore w:val="0"/>
              <w:widowControl w:val="0"/>
              <w:kinsoku/>
              <w:wordWrap/>
              <w:overflowPunct/>
              <w:topLinePunct w:val="0"/>
              <w:autoSpaceDE/>
              <w:autoSpaceDN/>
              <w:bidi w:val="0"/>
              <w:adjustRightInd/>
              <w:snapToGrid/>
              <w:spacing w:before="86" w:line="400" w:lineRule="exact"/>
              <w:ind w:left="11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特殊情形</w:t>
            </w:r>
          </w:p>
        </w:tc>
        <w:tc>
          <w:tcPr>
            <w:tcW w:w="2989" w:type="dxa"/>
            <w:vAlign w:val="center"/>
          </w:tcPr>
          <w:p w14:paraId="2066A84F">
            <w:pPr>
              <w:pStyle w:val="11"/>
              <w:keepNext w:val="0"/>
              <w:keepLines w:val="0"/>
              <w:pageBreakBefore w:val="0"/>
              <w:widowControl w:val="0"/>
              <w:kinsoku/>
              <w:wordWrap/>
              <w:overflowPunct/>
              <w:topLinePunct w:val="0"/>
              <w:autoSpaceDE/>
              <w:autoSpaceDN/>
              <w:bidi w:val="0"/>
              <w:adjustRightInd/>
              <w:snapToGrid/>
              <w:spacing w:before="87" w:line="400" w:lineRule="exact"/>
              <w:ind w:left="113" w:leftChars="0" w:right="107" w:rightChars="0" w:hanging="2" w:firstLine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200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740</w:t>
            </w:r>
            <w:r>
              <w:rPr>
                <w:rFonts w:hint="eastAsia" w:ascii="方正仿宋_GBK" w:hAnsi="方正仿宋_GBK" w:eastAsia="方正仿宋_GBK" w:cs="方正仿宋_GBK"/>
                <w:sz w:val="28"/>
                <w:szCs w:val="28"/>
                <w14:ligatures w14:val="standardContextual"/>
              </w:rPr>
              <w:t>0元</w:t>
            </w:r>
          </w:p>
        </w:tc>
      </w:tr>
      <w:tr w14:paraId="2DC5F4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1289" w:type="dxa"/>
            <w:vMerge w:val="restart"/>
            <w:tcBorders>
              <w:bottom w:val="nil"/>
            </w:tcBorders>
            <w:vAlign w:val="top"/>
          </w:tcPr>
          <w:p w14:paraId="706AD17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1C2C9DA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2596BE70">
            <w:pPr>
              <w:pStyle w:val="11"/>
              <w:keepNext w:val="0"/>
              <w:keepLines w:val="0"/>
              <w:pageBreakBefore w:val="0"/>
              <w:widowControl w:val="0"/>
              <w:kinsoku/>
              <w:wordWrap/>
              <w:overflowPunct/>
              <w:topLinePunct w:val="0"/>
              <w:autoSpaceDE/>
              <w:autoSpaceDN/>
              <w:bidi w:val="0"/>
              <w:adjustRightInd/>
              <w:snapToGrid/>
              <w:spacing w:before="85"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6"/>
                <w:sz w:val="28"/>
                <w:szCs w:val="28"/>
              </w:rPr>
              <w:t>一般</w:t>
            </w:r>
          </w:p>
        </w:tc>
        <w:tc>
          <w:tcPr>
            <w:tcW w:w="3305" w:type="dxa"/>
            <w:vAlign w:val="top"/>
          </w:tcPr>
          <w:p w14:paraId="3EE0621F">
            <w:pPr>
              <w:pStyle w:val="11"/>
              <w:keepNext w:val="0"/>
              <w:keepLines w:val="0"/>
              <w:pageBreakBefore w:val="0"/>
              <w:widowControl w:val="0"/>
              <w:kinsoku/>
              <w:wordWrap/>
              <w:overflowPunct/>
              <w:topLinePunct w:val="0"/>
              <w:autoSpaceDE/>
              <w:autoSpaceDN/>
              <w:bidi w:val="0"/>
              <w:adjustRightInd/>
              <w:snapToGrid/>
              <w:spacing w:before="125" w:line="400" w:lineRule="exact"/>
              <w:ind w:left="11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6"/>
                <w:sz w:val="28"/>
                <w:szCs w:val="28"/>
              </w:rPr>
              <w:t>涉及2种用品用具的</w:t>
            </w:r>
          </w:p>
        </w:tc>
        <w:tc>
          <w:tcPr>
            <w:tcW w:w="1212" w:type="dxa"/>
            <w:vAlign w:val="top"/>
          </w:tcPr>
          <w:p w14:paraId="1FA5D548">
            <w:pPr>
              <w:pStyle w:val="11"/>
              <w:keepNext w:val="0"/>
              <w:keepLines w:val="0"/>
              <w:pageBreakBefore w:val="0"/>
              <w:widowControl w:val="0"/>
              <w:kinsoku/>
              <w:wordWrap/>
              <w:overflowPunct/>
              <w:topLinePunct w:val="0"/>
              <w:autoSpaceDE/>
              <w:autoSpaceDN/>
              <w:bidi w:val="0"/>
              <w:adjustRightInd/>
              <w:snapToGrid/>
              <w:spacing w:before="125" w:line="400" w:lineRule="exact"/>
              <w:ind w:left="11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一般情形</w:t>
            </w:r>
          </w:p>
        </w:tc>
        <w:tc>
          <w:tcPr>
            <w:tcW w:w="2989" w:type="dxa"/>
            <w:vAlign w:val="center"/>
          </w:tcPr>
          <w:p w14:paraId="2109048F">
            <w:pPr>
              <w:pStyle w:val="11"/>
              <w:keepNext w:val="0"/>
              <w:keepLines w:val="0"/>
              <w:pageBreakBefore w:val="0"/>
              <w:widowControl w:val="0"/>
              <w:kinsoku/>
              <w:wordWrap/>
              <w:overflowPunct/>
              <w:topLinePunct w:val="0"/>
              <w:autoSpaceDE/>
              <w:autoSpaceDN/>
              <w:bidi w:val="0"/>
              <w:adjustRightInd/>
              <w:snapToGrid/>
              <w:spacing w:before="259" w:line="400" w:lineRule="exact"/>
              <w:ind w:left="109" w:leftChars="0" w:right="108" w:right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警</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7"/>
                <w:sz w:val="28"/>
                <w:szCs w:val="28"/>
              </w:rPr>
              <w:t>告 ，</w:t>
            </w:r>
            <w:r>
              <w:rPr>
                <w:rFonts w:hint="eastAsia" w:ascii="方正仿宋_GBK" w:hAnsi="方正仿宋_GBK" w:eastAsia="方正仿宋_GBK" w:cs="方正仿宋_GBK"/>
                <w:spacing w:val="-27"/>
                <w:sz w:val="28"/>
                <w:szCs w:val="28"/>
              </w:rPr>
              <w:t xml:space="preserve"> </w:t>
            </w:r>
            <w:r>
              <w:rPr>
                <w:rFonts w:hint="eastAsia" w:ascii="方正仿宋_GBK" w:hAnsi="方正仿宋_GBK" w:eastAsia="方正仿宋_GBK" w:cs="方正仿宋_GBK"/>
                <w:sz w:val="28"/>
                <w:szCs w:val="28"/>
                <w:lang w:val="en-US" w:eastAsia="zh-CN"/>
                <w14:ligatures w14:val="standardContextual"/>
              </w:rPr>
              <w:t>60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140</w:t>
            </w:r>
            <w:r>
              <w:rPr>
                <w:rFonts w:hint="eastAsia" w:ascii="方正仿宋_GBK" w:hAnsi="方正仿宋_GBK" w:eastAsia="方正仿宋_GBK" w:cs="方正仿宋_GBK"/>
                <w:sz w:val="28"/>
                <w:szCs w:val="28"/>
                <w14:ligatures w14:val="standardContextual"/>
              </w:rPr>
              <w:t>0元</w:t>
            </w:r>
          </w:p>
        </w:tc>
      </w:tr>
      <w:tr w14:paraId="7FE50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4" w:hRule="atLeast"/>
        </w:trPr>
        <w:tc>
          <w:tcPr>
            <w:tcW w:w="1289" w:type="dxa"/>
            <w:vMerge w:val="continue"/>
            <w:tcBorders>
              <w:top w:val="nil"/>
            </w:tcBorders>
            <w:vAlign w:val="top"/>
          </w:tcPr>
          <w:p w14:paraId="2DC1E3F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3305" w:type="dxa"/>
            <w:vAlign w:val="top"/>
          </w:tcPr>
          <w:p w14:paraId="4850F5FA">
            <w:pPr>
              <w:pStyle w:val="11"/>
              <w:keepNext w:val="0"/>
              <w:keepLines w:val="0"/>
              <w:pageBreakBefore w:val="0"/>
              <w:widowControl w:val="0"/>
              <w:kinsoku/>
              <w:wordWrap/>
              <w:overflowPunct/>
              <w:topLinePunct w:val="0"/>
              <w:autoSpaceDE/>
              <w:autoSpaceDN/>
              <w:bidi w:val="0"/>
              <w:adjustRightInd/>
              <w:snapToGrid/>
              <w:spacing w:before="87" w:line="400" w:lineRule="exact"/>
              <w:ind w:left="107" w:right="106" w:hanging="2"/>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5"/>
                <w:sz w:val="28"/>
                <w:szCs w:val="28"/>
              </w:rPr>
              <w:t>逾期不改正，造成公共场所卫生质</w:t>
            </w:r>
            <w:r>
              <w:rPr>
                <w:rFonts w:hint="eastAsia" w:ascii="方正仿宋_GBK" w:hAnsi="方正仿宋_GBK" w:eastAsia="方正仿宋_GBK" w:cs="方正仿宋_GBK"/>
                <w:spacing w:val="11"/>
                <w:sz w:val="28"/>
                <w:szCs w:val="28"/>
              </w:rPr>
              <w:t xml:space="preserve"> </w:t>
            </w:r>
            <w:r>
              <w:rPr>
                <w:rFonts w:hint="eastAsia" w:ascii="方正仿宋_GBK" w:hAnsi="方正仿宋_GBK" w:eastAsia="方正仿宋_GBK" w:cs="方正仿宋_GBK"/>
                <w:spacing w:val="5"/>
                <w:sz w:val="28"/>
                <w:szCs w:val="28"/>
              </w:rPr>
              <w:t>量不符合卫生标准和要求</w:t>
            </w:r>
            <w:r>
              <w:rPr>
                <w:rFonts w:hint="eastAsia" w:ascii="方正仿宋_GBK" w:hAnsi="方正仿宋_GBK" w:eastAsia="方正仿宋_GBK" w:cs="方正仿宋_GBK"/>
                <w:spacing w:val="-13"/>
                <w:sz w:val="28"/>
                <w:szCs w:val="28"/>
              </w:rPr>
              <w:t xml:space="preserve"> </w:t>
            </w:r>
            <w:r>
              <w:rPr>
                <w:rFonts w:hint="eastAsia" w:ascii="方正仿宋_GBK" w:hAnsi="方正仿宋_GBK" w:eastAsia="方正仿宋_GBK" w:cs="方正仿宋_GBK"/>
                <w:spacing w:val="5"/>
                <w:sz w:val="28"/>
                <w:szCs w:val="28"/>
              </w:rPr>
              <w:t>，涉及2</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项的</w:t>
            </w:r>
          </w:p>
        </w:tc>
        <w:tc>
          <w:tcPr>
            <w:tcW w:w="1212" w:type="dxa"/>
            <w:vAlign w:val="top"/>
          </w:tcPr>
          <w:p w14:paraId="5D0877F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500765B9">
            <w:pPr>
              <w:pStyle w:val="11"/>
              <w:keepNext w:val="0"/>
              <w:keepLines w:val="0"/>
              <w:pageBreakBefore w:val="0"/>
              <w:widowControl w:val="0"/>
              <w:kinsoku/>
              <w:wordWrap/>
              <w:overflowPunct/>
              <w:topLinePunct w:val="0"/>
              <w:autoSpaceDE/>
              <w:autoSpaceDN/>
              <w:bidi w:val="0"/>
              <w:adjustRightInd/>
              <w:snapToGrid/>
              <w:spacing w:before="85" w:line="400" w:lineRule="exact"/>
              <w:ind w:left="11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特殊情形</w:t>
            </w:r>
          </w:p>
        </w:tc>
        <w:tc>
          <w:tcPr>
            <w:tcW w:w="2989" w:type="dxa"/>
            <w:vAlign w:val="center"/>
          </w:tcPr>
          <w:p w14:paraId="6CB005BB">
            <w:pPr>
              <w:pStyle w:val="11"/>
              <w:keepNext w:val="0"/>
              <w:keepLines w:val="0"/>
              <w:pageBreakBefore w:val="0"/>
              <w:widowControl w:val="0"/>
              <w:kinsoku/>
              <w:wordWrap/>
              <w:overflowPunct/>
              <w:topLinePunct w:val="0"/>
              <w:autoSpaceDE/>
              <w:autoSpaceDN/>
              <w:bidi w:val="0"/>
              <w:adjustRightInd/>
              <w:snapToGrid/>
              <w:spacing w:before="90" w:line="400" w:lineRule="exact"/>
              <w:ind w:left="121" w:leftChars="0" w:right="107" w:rightChars="0" w:hanging="10" w:firstLine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740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1460</w:t>
            </w:r>
            <w:r>
              <w:rPr>
                <w:rFonts w:hint="eastAsia" w:ascii="方正仿宋_GBK" w:hAnsi="方正仿宋_GBK" w:eastAsia="方正仿宋_GBK" w:cs="方正仿宋_GBK"/>
                <w:sz w:val="28"/>
                <w:szCs w:val="28"/>
                <w14:ligatures w14:val="standardContextual"/>
              </w:rPr>
              <w:t>0元</w:t>
            </w:r>
          </w:p>
        </w:tc>
      </w:tr>
      <w:tr w14:paraId="556AB8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289" w:type="dxa"/>
            <w:vMerge w:val="restart"/>
            <w:tcBorders>
              <w:bottom w:val="nil"/>
            </w:tcBorders>
            <w:vAlign w:val="top"/>
          </w:tcPr>
          <w:p w14:paraId="39D18BC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40AEC91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5927FA45">
            <w:pPr>
              <w:pStyle w:val="11"/>
              <w:keepNext w:val="0"/>
              <w:keepLines w:val="0"/>
              <w:pageBreakBefore w:val="0"/>
              <w:widowControl w:val="0"/>
              <w:kinsoku/>
              <w:wordWrap/>
              <w:overflowPunct/>
              <w:topLinePunct w:val="0"/>
              <w:autoSpaceDE/>
              <w:autoSpaceDN/>
              <w:bidi w:val="0"/>
              <w:adjustRightInd/>
              <w:snapToGrid/>
              <w:spacing w:before="86"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6"/>
                <w:sz w:val="28"/>
                <w:szCs w:val="28"/>
              </w:rPr>
              <w:t>较重</w:t>
            </w:r>
          </w:p>
        </w:tc>
        <w:tc>
          <w:tcPr>
            <w:tcW w:w="3305" w:type="dxa"/>
            <w:vAlign w:val="top"/>
          </w:tcPr>
          <w:p w14:paraId="658CEBE8">
            <w:pPr>
              <w:pStyle w:val="11"/>
              <w:keepNext w:val="0"/>
              <w:keepLines w:val="0"/>
              <w:pageBreakBefore w:val="0"/>
              <w:widowControl w:val="0"/>
              <w:kinsoku/>
              <w:wordWrap/>
              <w:overflowPunct/>
              <w:topLinePunct w:val="0"/>
              <w:autoSpaceDE/>
              <w:autoSpaceDN/>
              <w:bidi w:val="0"/>
              <w:adjustRightInd/>
              <w:snapToGrid/>
              <w:spacing w:before="87" w:line="400" w:lineRule="exact"/>
              <w:ind w:left="11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涉及3种以上用品用具的</w:t>
            </w:r>
          </w:p>
        </w:tc>
        <w:tc>
          <w:tcPr>
            <w:tcW w:w="1212" w:type="dxa"/>
            <w:vAlign w:val="top"/>
          </w:tcPr>
          <w:p w14:paraId="3A713D94">
            <w:pPr>
              <w:pStyle w:val="11"/>
              <w:keepNext w:val="0"/>
              <w:keepLines w:val="0"/>
              <w:pageBreakBefore w:val="0"/>
              <w:widowControl w:val="0"/>
              <w:kinsoku/>
              <w:wordWrap/>
              <w:overflowPunct/>
              <w:topLinePunct w:val="0"/>
              <w:autoSpaceDE/>
              <w:autoSpaceDN/>
              <w:bidi w:val="0"/>
              <w:adjustRightInd/>
              <w:snapToGrid/>
              <w:spacing w:before="87" w:line="400" w:lineRule="exact"/>
              <w:ind w:left="111"/>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8"/>
                <w:sz w:val="28"/>
                <w:szCs w:val="28"/>
              </w:rPr>
              <w:t>一般情形</w:t>
            </w:r>
          </w:p>
        </w:tc>
        <w:tc>
          <w:tcPr>
            <w:tcW w:w="2989" w:type="dxa"/>
            <w:vAlign w:val="center"/>
          </w:tcPr>
          <w:p w14:paraId="623829C3">
            <w:pPr>
              <w:pStyle w:val="11"/>
              <w:keepNext w:val="0"/>
              <w:keepLines w:val="0"/>
              <w:pageBreakBefore w:val="0"/>
              <w:widowControl w:val="0"/>
              <w:kinsoku/>
              <w:wordWrap/>
              <w:overflowPunct/>
              <w:topLinePunct w:val="0"/>
              <w:autoSpaceDE/>
              <w:autoSpaceDN/>
              <w:bidi w:val="0"/>
              <w:adjustRightInd/>
              <w:snapToGrid/>
              <w:spacing w:before="258" w:line="400" w:lineRule="exact"/>
              <w:ind w:left="109" w:leftChars="0" w:right="108" w:right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3"/>
                <w:sz w:val="28"/>
                <w:szCs w:val="28"/>
              </w:rPr>
              <w:t>警告</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3"/>
                <w:sz w:val="28"/>
                <w:szCs w:val="28"/>
              </w:rPr>
              <w:t>，</w:t>
            </w:r>
            <w:r>
              <w:rPr>
                <w:rFonts w:hint="eastAsia" w:ascii="方正仿宋_GBK" w:hAnsi="方正仿宋_GBK" w:eastAsia="方正仿宋_GBK" w:cs="方正仿宋_GBK"/>
                <w:sz w:val="28"/>
                <w:szCs w:val="28"/>
                <w:lang w:val="en-US" w:eastAsia="zh-CN"/>
                <w14:ligatures w14:val="standardContextual"/>
              </w:rPr>
              <w:t>140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lang w:val="en-US" w:eastAsia="zh-CN"/>
              </w:rPr>
              <w:t>200</w:t>
            </w:r>
            <w:r>
              <w:rPr>
                <w:rFonts w:hint="eastAsia" w:ascii="方正仿宋_GBK" w:hAnsi="方正仿宋_GBK" w:eastAsia="方正仿宋_GBK" w:cs="方正仿宋_GBK"/>
                <w:sz w:val="28"/>
                <w:szCs w:val="28"/>
                <w14:ligatures w14:val="standardContextual"/>
              </w:rPr>
              <w:t>0元</w:t>
            </w:r>
          </w:p>
        </w:tc>
      </w:tr>
      <w:tr w14:paraId="3127E1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4" w:hRule="atLeast"/>
        </w:trPr>
        <w:tc>
          <w:tcPr>
            <w:tcW w:w="1289" w:type="dxa"/>
            <w:vMerge w:val="continue"/>
            <w:tcBorders>
              <w:top w:val="nil"/>
            </w:tcBorders>
            <w:vAlign w:val="top"/>
          </w:tcPr>
          <w:p w14:paraId="72AFC4B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3305" w:type="dxa"/>
            <w:vAlign w:val="top"/>
          </w:tcPr>
          <w:p w14:paraId="04B67592">
            <w:pPr>
              <w:pStyle w:val="11"/>
              <w:keepNext w:val="0"/>
              <w:keepLines w:val="0"/>
              <w:pageBreakBefore w:val="0"/>
              <w:widowControl w:val="0"/>
              <w:kinsoku/>
              <w:wordWrap/>
              <w:overflowPunct/>
              <w:topLinePunct w:val="0"/>
              <w:autoSpaceDE/>
              <w:autoSpaceDN/>
              <w:bidi w:val="0"/>
              <w:adjustRightInd/>
              <w:snapToGrid/>
              <w:spacing w:before="87" w:line="400" w:lineRule="exact"/>
              <w:ind w:left="107" w:right="106" w:hanging="2"/>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5"/>
                <w:sz w:val="28"/>
                <w:szCs w:val="28"/>
              </w:rPr>
              <w:t>逾期不改正，造成公共场所卫生质</w:t>
            </w:r>
            <w:r>
              <w:rPr>
                <w:rFonts w:hint="eastAsia" w:ascii="方正仿宋_GBK" w:hAnsi="方正仿宋_GBK" w:eastAsia="方正仿宋_GBK" w:cs="方正仿宋_GBK"/>
                <w:spacing w:val="11"/>
                <w:sz w:val="28"/>
                <w:szCs w:val="28"/>
              </w:rPr>
              <w:t xml:space="preserve"> </w:t>
            </w:r>
            <w:r>
              <w:rPr>
                <w:rFonts w:hint="eastAsia" w:ascii="方正仿宋_GBK" w:hAnsi="方正仿宋_GBK" w:eastAsia="方正仿宋_GBK" w:cs="方正仿宋_GBK"/>
                <w:spacing w:val="5"/>
                <w:sz w:val="28"/>
                <w:szCs w:val="28"/>
              </w:rPr>
              <w:t>量不符合卫生标准和要求</w:t>
            </w:r>
            <w:r>
              <w:rPr>
                <w:rFonts w:hint="eastAsia" w:ascii="方正仿宋_GBK" w:hAnsi="方正仿宋_GBK" w:eastAsia="方正仿宋_GBK" w:cs="方正仿宋_GBK"/>
                <w:spacing w:val="-13"/>
                <w:sz w:val="28"/>
                <w:szCs w:val="28"/>
              </w:rPr>
              <w:t xml:space="preserve"> </w:t>
            </w:r>
            <w:r>
              <w:rPr>
                <w:rFonts w:hint="eastAsia" w:ascii="方正仿宋_GBK" w:hAnsi="方正仿宋_GBK" w:eastAsia="方正仿宋_GBK" w:cs="方正仿宋_GBK"/>
                <w:spacing w:val="5"/>
                <w:sz w:val="28"/>
                <w:szCs w:val="28"/>
              </w:rPr>
              <w:t>，涉及3</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8"/>
                <w:sz w:val="28"/>
                <w:szCs w:val="28"/>
              </w:rPr>
              <w:t>项以上的</w:t>
            </w:r>
          </w:p>
        </w:tc>
        <w:tc>
          <w:tcPr>
            <w:tcW w:w="1212" w:type="dxa"/>
            <w:vAlign w:val="top"/>
          </w:tcPr>
          <w:p w14:paraId="47D3EB0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61D3F83F">
            <w:pPr>
              <w:pStyle w:val="11"/>
              <w:keepNext w:val="0"/>
              <w:keepLines w:val="0"/>
              <w:pageBreakBefore w:val="0"/>
              <w:widowControl w:val="0"/>
              <w:kinsoku/>
              <w:wordWrap/>
              <w:overflowPunct/>
              <w:topLinePunct w:val="0"/>
              <w:autoSpaceDE/>
              <w:autoSpaceDN/>
              <w:bidi w:val="0"/>
              <w:adjustRightInd/>
              <w:snapToGrid/>
              <w:spacing w:before="85" w:line="400" w:lineRule="exact"/>
              <w:ind w:left="112"/>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特殊情形</w:t>
            </w:r>
          </w:p>
        </w:tc>
        <w:tc>
          <w:tcPr>
            <w:tcW w:w="2989" w:type="dxa"/>
            <w:vAlign w:val="center"/>
          </w:tcPr>
          <w:p w14:paraId="6246A298">
            <w:pPr>
              <w:pStyle w:val="11"/>
              <w:keepNext w:val="0"/>
              <w:keepLines w:val="0"/>
              <w:pageBreakBefore w:val="0"/>
              <w:widowControl w:val="0"/>
              <w:kinsoku/>
              <w:wordWrap/>
              <w:overflowPunct/>
              <w:topLinePunct w:val="0"/>
              <w:autoSpaceDE/>
              <w:autoSpaceDN/>
              <w:bidi w:val="0"/>
              <w:adjustRightInd/>
              <w:snapToGrid/>
              <w:spacing w:before="84" w:line="400" w:lineRule="exact"/>
              <w:ind w:left="111" w:leftChars="0" w:right="107" w:rightChars="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1460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lang w:val="en-US" w:eastAsia="zh-CN"/>
              </w:rPr>
              <w:t>2000</w:t>
            </w:r>
            <w:r>
              <w:rPr>
                <w:rFonts w:hint="eastAsia" w:ascii="方正仿宋_GBK" w:hAnsi="方正仿宋_GBK" w:eastAsia="方正仿宋_GBK" w:cs="方正仿宋_GBK"/>
                <w:sz w:val="28"/>
                <w:szCs w:val="28"/>
                <w14:ligatures w14:val="standardContextual"/>
              </w:rPr>
              <w:t>0元</w:t>
            </w:r>
          </w:p>
        </w:tc>
      </w:tr>
      <w:tr w14:paraId="2B07CF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4" w:hRule="atLeast"/>
        </w:trPr>
        <w:tc>
          <w:tcPr>
            <w:tcW w:w="1289" w:type="dxa"/>
            <w:vMerge w:val="restart"/>
            <w:tcBorders>
              <w:bottom w:val="nil"/>
            </w:tcBorders>
            <w:vAlign w:val="top"/>
          </w:tcPr>
          <w:p w14:paraId="4B78F54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B9EBE9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AF824A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3F2FD96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7DF356CE">
            <w:pPr>
              <w:pStyle w:val="11"/>
              <w:keepNext w:val="0"/>
              <w:keepLines w:val="0"/>
              <w:pageBreakBefore w:val="0"/>
              <w:widowControl w:val="0"/>
              <w:kinsoku/>
              <w:wordWrap/>
              <w:overflowPunct/>
              <w:topLinePunct w:val="0"/>
              <w:autoSpaceDE/>
              <w:autoSpaceDN/>
              <w:bidi w:val="0"/>
              <w:adjustRightInd/>
              <w:snapToGrid/>
              <w:spacing w:before="85"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pacing w:val="7"/>
                <w:sz w:val="28"/>
                <w:szCs w:val="28"/>
              </w:rPr>
              <w:t>严重</w:t>
            </w:r>
          </w:p>
        </w:tc>
        <w:tc>
          <w:tcPr>
            <w:tcW w:w="4517" w:type="dxa"/>
            <w:gridSpan w:val="2"/>
            <w:vAlign w:val="top"/>
          </w:tcPr>
          <w:p w14:paraId="406AB226">
            <w:pPr>
              <w:pStyle w:val="11"/>
              <w:keepNext w:val="0"/>
              <w:keepLines w:val="0"/>
              <w:pageBreakBefore w:val="0"/>
              <w:widowControl w:val="0"/>
              <w:kinsoku/>
              <w:wordWrap/>
              <w:overflowPunct/>
              <w:topLinePunct w:val="0"/>
              <w:autoSpaceDE/>
              <w:autoSpaceDN/>
              <w:bidi w:val="0"/>
              <w:adjustRightInd/>
              <w:snapToGrid/>
              <w:spacing w:before="87" w:line="400" w:lineRule="exact"/>
              <w:ind w:left="106" w:right="26" w:firstLine="2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因未按照规定对顾客用品用具进行清洗、消毒、</w:t>
            </w:r>
            <w:r>
              <w:rPr>
                <w:rFonts w:hint="eastAsia" w:ascii="方正仿宋_GBK" w:hAnsi="方正仿宋_GBK" w:eastAsia="方正仿宋_GBK" w:cs="方正仿宋_GBK"/>
                <w:spacing w:val="10"/>
                <w:sz w:val="28"/>
                <w:szCs w:val="28"/>
              </w:rPr>
              <w:t xml:space="preserve"> </w:t>
            </w:r>
            <w:r>
              <w:rPr>
                <w:rFonts w:hint="eastAsia" w:ascii="方正仿宋_GBK" w:hAnsi="方正仿宋_GBK" w:eastAsia="方正仿宋_GBK" w:cs="方正仿宋_GBK"/>
                <w:spacing w:val="6"/>
                <w:sz w:val="28"/>
                <w:szCs w:val="28"/>
              </w:rPr>
              <w:t>保洁的</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6"/>
                <w:sz w:val="28"/>
                <w:szCs w:val="28"/>
              </w:rPr>
              <w:t>，或者重复使用一次性用品用具</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6"/>
                <w:sz w:val="28"/>
                <w:szCs w:val="28"/>
              </w:rPr>
              <w:t>，造成</w:t>
            </w:r>
            <w:r>
              <w:rPr>
                <w:rFonts w:hint="eastAsia" w:ascii="方正仿宋_GBK" w:hAnsi="方正仿宋_GBK" w:eastAsia="方正仿宋_GBK" w:cs="方正仿宋_GBK"/>
                <w:spacing w:val="9"/>
                <w:sz w:val="28"/>
                <w:szCs w:val="28"/>
              </w:rPr>
              <w:t>公共场所危害健康事故的</w:t>
            </w:r>
          </w:p>
        </w:tc>
        <w:tc>
          <w:tcPr>
            <w:tcW w:w="2989" w:type="dxa"/>
            <w:vAlign w:val="center"/>
          </w:tcPr>
          <w:p w14:paraId="6424EC27">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方正仿宋_GBK" w:hAnsi="方正仿宋_GBK" w:eastAsia="方正仿宋_GBK" w:cs="方正仿宋_GBK"/>
                <w:sz w:val="28"/>
                <w:szCs w:val="28"/>
              </w:rPr>
            </w:pPr>
          </w:p>
          <w:p w14:paraId="1704939E">
            <w:pPr>
              <w:pStyle w:val="11"/>
              <w:keepNext w:val="0"/>
              <w:keepLines w:val="0"/>
              <w:pageBreakBefore w:val="0"/>
              <w:widowControl w:val="0"/>
              <w:kinsoku/>
              <w:wordWrap/>
              <w:overflowPunct/>
              <w:topLinePunct w:val="0"/>
              <w:autoSpaceDE/>
              <w:autoSpaceDN/>
              <w:bidi w:val="0"/>
              <w:adjustRightInd/>
              <w:snapToGrid/>
              <w:spacing w:before="86" w:line="400" w:lineRule="exact"/>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2</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spacing w:val="8"/>
                <w:sz w:val="28"/>
                <w:szCs w:val="28"/>
              </w:rPr>
              <w:t>责令停业整顿</w:t>
            </w:r>
          </w:p>
        </w:tc>
      </w:tr>
      <w:tr w14:paraId="1A250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9" w:hRule="atLeast"/>
        </w:trPr>
        <w:tc>
          <w:tcPr>
            <w:tcW w:w="1289" w:type="dxa"/>
            <w:vMerge w:val="continue"/>
            <w:tcBorders>
              <w:top w:val="nil"/>
            </w:tcBorders>
            <w:vAlign w:val="top"/>
          </w:tcPr>
          <w:p w14:paraId="0E59250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tc>
        <w:tc>
          <w:tcPr>
            <w:tcW w:w="4517" w:type="dxa"/>
            <w:gridSpan w:val="2"/>
            <w:vAlign w:val="top"/>
          </w:tcPr>
          <w:p w14:paraId="65D616F8">
            <w:pPr>
              <w:pStyle w:val="11"/>
              <w:keepNext w:val="0"/>
              <w:keepLines w:val="0"/>
              <w:pageBreakBefore w:val="0"/>
              <w:widowControl w:val="0"/>
              <w:kinsoku/>
              <w:wordWrap/>
              <w:overflowPunct/>
              <w:topLinePunct w:val="0"/>
              <w:autoSpaceDE/>
              <w:autoSpaceDN/>
              <w:bidi w:val="0"/>
              <w:adjustRightInd/>
              <w:snapToGrid/>
              <w:spacing w:before="90" w:line="400" w:lineRule="exact"/>
              <w:ind w:left="106" w:right="26" w:firstLine="20"/>
              <w:jc w:val="both"/>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因未按照规定对顾客用品用具进行清洗、消毒、</w:t>
            </w:r>
            <w:r>
              <w:rPr>
                <w:rFonts w:hint="eastAsia" w:ascii="方正仿宋_GBK" w:hAnsi="方正仿宋_GBK" w:eastAsia="方正仿宋_GBK" w:cs="方正仿宋_GBK"/>
                <w:spacing w:val="10"/>
                <w:sz w:val="28"/>
                <w:szCs w:val="28"/>
              </w:rPr>
              <w:t xml:space="preserve"> </w:t>
            </w:r>
            <w:r>
              <w:rPr>
                <w:rFonts w:hint="eastAsia" w:ascii="方正仿宋_GBK" w:hAnsi="方正仿宋_GBK" w:eastAsia="方正仿宋_GBK" w:cs="方正仿宋_GBK"/>
                <w:spacing w:val="6"/>
                <w:sz w:val="28"/>
                <w:szCs w:val="28"/>
              </w:rPr>
              <w:t>保洁的</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6"/>
                <w:sz w:val="28"/>
                <w:szCs w:val="28"/>
              </w:rPr>
              <w:t>，或者重复使用一次性用品用具</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6"/>
                <w:sz w:val="28"/>
                <w:szCs w:val="28"/>
              </w:rPr>
              <w:t>，导致</w:t>
            </w:r>
            <w:r>
              <w:rPr>
                <w:rFonts w:hint="eastAsia" w:ascii="方正仿宋_GBK" w:hAnsi="方正仿宋_GBK" w:eastAsia="方正仿宋_GBK" w:cs="方正仿宋_GBK"/>
                <w:spacing w:val="9"/>
                <w:sz w:val="28"/>
                <w:szCs w:val="28"/>
              </w:rPr>
              <w:t>公共场所危害健康事故且发生死亡或同时发生</w:t>
            </w:r>
            <w:r>
              <w:rPr>
                <w:rFonts w:hint="eastAsia" w:ascii="方正仿宋_GBK" w:hAnsi="方正仿宋_GBK" w:eastAsia="方正仿宋_GBK" w:cs="方正仿宋_GBK"/>
                <w:spacing w:val="5"/>
                <w:sz w:val="28"/>
                <w:szCs w:val="28"/>
              </w:rPr>
              <w:t>3名以上（含3名）受害病人的</w:t>
            </w:r>
            <w:r>
              <w:rPr>
                <w:rFonts w:hint="eastAsia" w:ascii="方正仿宋_GBK" w:hAnsi="方正仿宋_GBK" w:eastAsia="方正仿宋_GBK" w:cs="方正仿宋_GBK"/>
                <w:spacing w:val="-5"/>
                <w:sz w:val="28"/>
                <w:szCs w:val="28"/>
              </w:rPr>
              <w:t xml:space="preserve"> </w:t>
            </w:r>
            <w:r>
              <w:rPr>
                <w:rFonts w:hint="eastAsia" w:ascii="方正仿宋_GBK" w:hAnsi="方正仿宋_GBK" w:eastAsia="方正仿宋_GBK" w:cs="方正仿宋_GBK"/>
                <w:spacing w:val="5"/>
                <w:sz w:val="28"/>
                <w:szCs w:val="28"/>
              </w:rPr>
              <w:t>；或者经责令停</w:t>
            </w:r>
            <w:r>
              <w:rPr>
                <w:rFonts w:hint="eastAsia" w:ascii="方正仿宋_GBK" w:hAnsi="方正仿宋_GBK" w:eastAsia="方正仿宋_GBK" w:cs="方正仿宋_GBK"/>
                <w:spacing w:val="9"/>
                <w:sz w:val="28"/>
                <w:szCs w:val="28"/>
              </w:rPr>
              <w:t>业整顿后仍未改正的</w:t>
            </w:r>
          </w:p>
        </w:tc>
        <w:tc>
          <w:tcPr>
            <w:tcW w:w="2989" w:type="dxa"/>
            <w:vAlign w:val="top"/>
          </w:tcPr>
          <w:p w14:paraId="2143B4E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0A8298A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p>
          <w:p w14:paraId="2F20AF0B">
            <w:pPr>
              <w:pStyle w:val="11"/>
              <w:keepNext w:val="0"/>
              <w:keepLines w:val="0"/>
              <w:pageBreakBefore w:val="0"/>
              <w:widowControl w:val="0"/>
              <w:kinsoku/>
              <w:wordWrap/>
              <w:overflowPunct/>
              <w:topLinePunct w:val="0"/>
              <w:autoSpaceDE/>
              <w:autoSpaceDN/>
              <w:bidi w:val="0"/>
              <w:adjustRightInd/>
              <w:snapToGrid/>
              <w:spacing w:before="85"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2</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spacing w:val="5"/>
                <w:sz w:val="28"/>
                <w:szCs w:val="28"/>
              </w:rPr>
              <w:t>吊销卫生许可证</w:t>
            </w:r>
          </w:p>
        </w:tc>
      </w:tr>
    </w:tbl>
    <w:p w14:paraId="55E3935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三、说明</w:t>
      </w:r>
    </w:p>
    <w:p w14:paraId="57C0EF1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ascii="Times New Roman" w:hAnsi="Times New Roman" w:eastAsia="方正仿宋_GBK"/>
          <w:sz w:val="32"/>
          <w:szCs w:val="32"/>
          <w14:ligatures w14:val="standardContextual"/>
        </w:rPr>
        <w:t>参照GB37488-2019《公共场所卫生指标及限制要求》4.6，公共用品用具种类分为杯具、棉织品、洁具、鞋类、美容美发工具、修脚工具、其他用品用具7种。</w:t>
      </w:r>
    </w:p>
    <w:p w14:paraId="70E58D70">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方正仿宋_GBK" w:cs="方正仿宋_GBK"/>
          <w:color w:val="FF0000"/>
          <w:sz w:val="32"/>
          <w:szCs w:val="32"/>
          <w:lang w:val="en-US"/>
        </w:rPr>
      </w:pPr>
    </w:p>
    <w:p w14:paraId="12F35D16">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案由五：公共场所经营者未按照规定建立卫生管理制度、设立卫生管理部门或者配备专(兼)职卫生管理人员，或者未建立卫生管理档案</w:t>
      </w:r>
    </w:p>
    <w:p w14:paraId="32FB4BD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F52A3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一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76AB309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（一）未按照规定建立卫生管理制度、设立卫生管理部门或者配备专（兼）职卫生管理人员，或者未建立卫生管理档案的；</w:t>
      </w:r>
    </w:p>
    <w:p w14:paraId="764D266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5"/>
        <w:gridCol w:w="4700"/>
        <w:gridCol w:w="2710"/>
      </w:tblGrid>
      <w:tr w14:paraId="17B9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5" w:type="dxa"/>
            <w:vAlign w:val="center"/>
          </w:tcPr>
          <w:p w14:paraId="33870AB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700" w:type="dxa"/>
            <w:vAlign w:val="center"/>
          </w:tcPr>
          <w:p w14:paraId="3CD20D5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710" w:type="dxa"/>
            <w:vAlign w:val="center"/>
          </w:tcPr>
          <w:p w14:paraId="34A9CF4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3A88B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5" w:type="dxa"/>
            <w:vAlign w:val="center"/>
          </w:tcPr>
          <w:p w14:paraId="4137293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700" w:type="dxa"/>
            <w:vAlign w:val="center"/>
          </w:tcPr>
          <w:p w14:paraId="47A8A1F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存在未按照规定建立卫生管理制度、设立卫生管理部门或者配备专（兼）职卫生管理人员，或者未建立卫生管理档案的违法行为其中1项的，经责令限期改正，逾期不改正的</w:t>
            </w:r>
          </w:p>
        </w:tc>
        <w:tc>
          <w:tcPr>
            <w:tcW w:w="2710" w:type="dxa"/>
            <w:vAlign w:val="center"/>
          </w:tcPr>
          <w:p w14:paraId="7552A4E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0DD7A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5" w:type="dxa"/>
            <w:vAlign w:val="center"/>
          </w:tcPr>
          <w:p w14:paraId="3D17E25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700" w:type="dxa"/>
            <w:vAlign w:val="center"/>
          </w:tcPr>
          <w:p w14:paraId="3D7D9F2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存在上述违法行为2项，经责令限期改正，逾期不改正的</w:t>
            </w:r>
          </w:p>
        </w:tc>
        <w:tc>
          <w:tcPr>
            <w:tcW w:w="2710" w:type="dxa"/>
            <w:vAlign w:val="center"/>
          </w:tcPr>
          <w:p w14:paraId="69265CD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0E525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1515" w:type="dxa"/>
            <w:vMerge w:val="restart"/>
            <w:vAlign w:val="center"/>
          </w:tcPr>
          <w:p w14:paraId="11F039B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z w:val="28"/>
                <w:szCs w:val="28"/>
                <w:lang w:val="en-US" w:eastAsia="zh-CN"/>
                <w14:ligatures w14:val="standardContextual"/>
              </w:rPr>
              <w:t>较</w:t>
            </w:r>
            <w:r>
              <w:rPr>
                <w:rFonts w:hint="eastAsia" w:ascii="方正仿宋_GBK" w:hAnsi="方正仿宋_GBK" w:eastAsia="方正仿宋_GBK" w:cs="方正仿宋_GBK"/>
                <w:sz w:val="28"/>
                <w:szCs w:val="28"/>
                <w14:ligatures w14:val="standardContextual"/>
              </w:rPr>
              <w:t>重</w:t>
            </w:r>
          </w:p>
        </w:tc>
        <w:tc>
          <w:tcPr>
            <w:tcW w:w="4700" w:type="dxa"/>
            <w:vAlign w:val="center"/>
          </w:tcPr>
          <w:p w14:paraId="626AA1A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存在上述违法行为</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项，经责令限期改正，逾期不改正的</w:t>
            </w:r>
          </w:p>
        </w:tc>
        <w:tc>
          <w:tcPr>
            <w:tcW w:w="2710" w:type="dxa"/>
            <w:vAlign w:val="center"/>
          </w:tcPr>
          <w:p w14:paraId="6FB2A68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00元≤罚款&lt;</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4BA05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1515" w:type="dxa"/>
            <w:vMerge w:val="continue"/>
            <w:vAlign w:val="center"/>
          </w:tcPr>
          <w:p w14:paraId="6A92AFE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700" w:type="dxa"/>
            <w:vAlign w:val="center"/>
          </w:tcPr>
          <w:p w14:paraId="368BE0D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拒绝卫生</w:t>
            </w:r>
            <w:r>
              <w:rPr>
                <w:rFonts w:hint="eastAsia" w:ascii="方正仿宋_GBK" w:hAnsi="方正仿宋_GBK" w:eastAsia="方正仿宋_GBK" w:cs="方正仿宋_GBK"/>
                <w:sz w:val="28"/>
                <w:szCs w:val="28"/>
                <w:lang w:eastAsia="zh-CN"/>
                <w14:ligatures w14:val="standardContextual"/>
              </w:rPr>
              <w:t>执法</w:t>
            </w:r>
            <w:r>
              <w:rPr>
                <w:rFonts w:hint="eastAsia" w:ascii="方正仿宋_GBK" w:hAnsi="方正仿宋_GBK" w:eastAsia="方正仿宋_GBK" w:cs="方正仿宋_GBK"/>
                <w:sz w:val="28"/>
                <w:szCs w:val="28"/>
                <w14:ligatures w14:val="standardContextual"/>
              </w:rPr>
              <w:t>监督</w:t>
            </w:r>
            <w:r>
              <w:rPr>
                <w:rFonts w:hint="eastAsia" w:ascii="方正仿宋_GBK" w:hAnsi="方正仿宋_GBK" w:eastAsia="方正仿宋_GBK" w:cs="方正仿宋_GBK"/>
                <w:sz w:val="28"/>
                <w:szCs w:val="28"/>
                <w:lang w:eastAsia="zh-CN"/>
                <w14:ligatures w14:val="standardContextual"/>
              </w:rPr>
              <w:t>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710" w:type="dxa"/>
            <w:vAlign w:val="center"/>
          </w:tcPr>
          <w:p w14:paraId="41B863D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00元≤罚款&lt;</w:t>
            </w: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0000元</w:t>
            </w:r>
          </w:p>
        </w:tc>
      </w:tr>
      <w:tr w14:paraId="7D87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1515" w:type="dxa"/>
            <w:vMerge w:val="restart"/>
            <w:vAlign w:val="center"/>
          </w:tcPr>
          <w:p w14:paraId="79FF917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val="en-US" w:eastAsia="zh-CN"/>
                <w14:ligatures w14:val="standardContextual"/>
              </w:rPr>
            </w:pPr>
            <w:r>
              <w:rPr>
                <w:rFonts w:hint="eastAsia" w:ascii="方正仿宋_GBK" w:hAnsi="方正仿宋_GBK" w:eastAsia="方正仿宋_GBK" w:cs="方正仿宋_GBK"/>
                <w:color w:val="auto"/>
                <w:sz w:val="28"/>
                <w:szCs w:val="28"/>
                <w:lang w:val="en-US" w:eastAsia="zh-CN"/>
                <w14:ligatures w14:val="standardContextual"/>
              </w:rPr>
              <w:t>情节严重</w:t>
            </w:r>
          </w:p>
        </w:tc>
        <w:tc>
          <w:tcPr>
            <w:tcW w:w="4700" w:type="dxa"/>
            <w:vAlign w:val="center"/>
          </w:tcPr>
          <w:p w14:paraId="1A7DD88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val="en-US" w:eastAsia="zh-CN"/>
                <w14:ligatures w14:val="standardContextual"/>
              </w:rPr>
            </w:pPr>
            <w:r>
              <w:rPr>
                <w:rFonts w:hint="eastAsia" w:ascii="方正仿宋_GBK" w:hAnsi="方正仿宋_GBK" w:eastAsia="方正仿宋_GBK" w:cs="方正仿宋_GBK"/>
                <w:color w:val="auto"/>
                <w:sz w:val="28"/>
                <w:szCs w:val="28"/>
                <w:lang w:val="en-US" w:eastAsia="zh-CN"/>
                <w14:ligatures w14:val="standardContextual"/>
              </w:rPr>
              <w:t>逾期不改正造成特别严重后果或者造成社会舆论负面后果、群体性事件等严重社会影响的</w:t>
            </w:r>
          </w:p>
        </w:tc>
        <w:tc>
          <w:tcPr>
            <w:tcW w:w="2710" w:type="dxa"/>
            <w:vAlign w:val="center"/>
          </w:tcPr>
          <w:p w14:paraId="501490B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03605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1515" w:type="dxa"/>
            <w:vMerge w:val="continue"/>
            <w:vAlign w:val="center"/>
          </w:tcPr>
          <w:p w14:paraId="39B82BF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val="en-US" w:eastAsia="zh-CN"/>
                <w14:ligatures w14:val="standardContextual"/>
              </w:rPr>
            </w:pPr>
          </w:p>
        </w:tc>
        <w:tc>
          <w:tcPr>
            <w:tcW w:w="4700" w:type="dxa"/>
            <w:vAlign w:val="center"/>
          </w:tcPr>
          <w:p w14:paraId="3F20459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color w:val="auto"/>
                <w:sz w:val="28"/>
                <w:szCs w:val="28"/>
                <w:lang w:val="en-US" w:eastAsia="zh-CN"/>
                <w14:ligatures w14:val="standardContextual"/>
              </w:rPr>
              <w:t>拒绝监督</w:t>
            </w:r>
            <w:r>
              <w:rPr>
                <w:rFonts w:hint="eastAsia" w:ascii="方正仿宋_GBK" w:hAnsi="方正仿宋_GBK" w:eastAsia="方正仿宋_GBK" w:cs="方正仿宋_GBK"/>
                <w:color w:val="auto"/>
                <w:sz w:val="28"/>
                <w:szCs w:val="28"/>
                <w14:ligatures w14:val="standardContextual"/>
              </w:rPr>
              <w:t>造成</w:t>
            </w:r>
            <w:r>
              <w:rPr>
                <w:rFonts w:hint="eastAsia" w:ascii="方正仿宋_GBK" w:hAnsi="方正仿宋_GBK" w:eastAsia="方正仿宋_GBK" w:cs="方正仿宋_GBK"/>
                <w:color w:val="auto"/>
                <w:sz w:val="28"/>
                <w:szCs w:val="28"/>
                <w:lang w:val="en-US" w:eastAsia="zh-CN"/>
                <w14:ligatures w14:val="standardContextual"/>
              </w:rPr>
              <w:t>特别严重后果或者造成社会舆论负面后果、群体性事件等严重社会影响的</w:t>
            </w:r>
          </w:p>
        </w:tc>
        <w:tc>
          <w:tcPr>
            <w:tcW w:w="2710" w:type="dxa"/>
            <w:vAlign w:val="center"/>
          </w:tcPr>
          <w:p w14:paraId="10981F4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200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3480446E">
      <w:pPr>
        <w:spacing w:line="560" w:lineRule="exact"/>
        <w:ind w:firstLine="640" w:firstLineChars="200"/>
        <w:rPr>
          <w:rFonts w:ascii="Times New Roman" w:hAnsi="Times New Roman" w:eastAsia="黑体" w:cs="黑体"/>
          <w:sz w:val="32"/>
          <w:szCs w:val="32"/>
        </w:rPr>
      </w:pPr>
    </w:p>
    <w:p w14:paraId="7597C43C">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黑体_GBK" w:hAnsi="方正黑体_GBK" w:eastAsia="方正黑体_GBK" w:cs="方正黑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案由六：公共场所经营者未按照规定组织从业人员进行相关卫生法律知识和公共场所卫生知识培训，或者安排未经相关卫生法律知识和公共场所卫生知识培训考核的从业人员上岗的</w:t>
      </w:r>
    </w:p>
    <w:p w14:paraId="72C5D2C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61DAA1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二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0473F2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（二）未按照规定组织从业人员进行相关卫生法律知识和公共场所卫生知识培训，或者安排未经相关卫生法律知识和公共场所卫生知识培训考核的从业人员上岗的；</w:t>
      </w:r>
    </w:p>
    <w:p w14:paraId="41E63CA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spacing w:val="15"/>
          <w:sz w:val="32"/>
          <w:szCs w:val="32"/>
          <w14:ligatures w14:val="standardContextual"/>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1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0"/>
        <w:gridCol w:w="4780"/>
        <w:gridCol w:w="2600"/>
      </w:tblGrid>
      <w:tr w14:paraId="3DE3B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4" w:hRule="atLeast"/>
        </w:trPr>
        <w:tc>
          <w:tcPr>
            <w:tcW w:w="1410" w:type="dxa"/>
            <w:vAlign w:val="center"/>
          </w:tcPr>
          <w:p w14:paraId="610A5BC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780" w:type="dxa"/>
            <w:vAlign w:val="center"/>
          </w:tcPr>
          <w:p w14:paraId="14F2057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600" w:type="dxa"/>
            <w:vAlign w:val="center"/>
          </w:tcPr>
          <w:p w14:paraId="432F952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6A268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0" w:type="dxa"/>
            <w:vAlign w:val="center"/>
          </w:tcPr>
          <w:p w14:paraId="15B48DA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780" w:type="dxa"/>
            <w:vAlign w:val="center"/>
          </w:tcPr>
          <w:p w14:paraId="37503DC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未按照规定组织从业人员进行相关卫生法律知识和公共场所卫生知识培训，或者安排未经相关卫生法律知识和公共场所卫生知识培训考核的从业人员上岗</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pacing w:val="6"/>
                <w:sz w:val="28"/>
                <w:szCs w:val="28"/>
              </w:rPr>
              <w:t>涉及人数</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pacing w:val="6"/>
                <w:sz w:val="28"/>
                <w:szCs w:val="28"/>
                <w:lang w:val="en-US" w:eastAsia="zh-CN"/>
              </w:rPr>
              <w:t>5</w:t>
            </w:r>
            <w:r>
              <w:rPr>
                <w:rFonts w:hint="eastAsia" w:ascii="方正仿宋_GBK" w:hAnsi="方正仿宋_GBK" w:eastAsia="方正仿宋_GBK" w:cs="方正仿宋_GBK"/>
                <w:spacing w:val="6"/>
                <w:sz w:val="28"/>
                <w:szCs w:val="28"/>
              </w:rPr>
              <w:t>人</w:t>
            </w:r>
            <w:r>
              <w:rPr>
                <w:rFonts w:hint="eastAsia" w:ascii="方正仿宋_GBK" w:hAnsi="方正仿宋_GBK" w:eastAsia="方正仿宋_GBK" w:cs="方正仿宋_GBK"/>
                <w:spacing w:val="6"/>
                <w:sz w:val="28"/>
                <w:szCs w:val="28"/>
                <w:lang w:eastAsia="zh-CN"/>
              </w:rPr>
              <w:t>，</w:t>
            </w:r>
            <w:r>
              <w:rPr>
                <w:rFonts w:hint="eastAsia" w:ascii="方正仿宋_GBK" w:hAnsi="方正仿宋_GBK" w:eastAsia="方正仿宋_GBK" w:cs="方正仿宋_GBK"/>
                <w:sz w:val="28"/>
                <w:szCs w:val="28"/>
                <w14:ligatures w14:val="standardContextual"/>
              </w:rPr>
              <w:t>经责令限期改正，逾期不改正的</w:t>
            </w:r>
          </w:p>
        </w:tc>
        <w:tc>
          <w:tcPr>
            <w:tcW w:w="2600" w:type="dxa"/>
            <w:vAlign w:val="center"/>
          </w:tcPr>
          <w:p w14:paraId="099E068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5FC6A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0" w:type="dxa"/>
            <w:vAlign w:val="center"/>
          </w:tcPr>
          <w:p w14:paraId="663280E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780" w:type="dxa"/>
            <w:vAlign w:val="center"/>
          </w:tcPr>
          <w:p w14:paraId="0E3C7C6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未按照规定组织从业人员进行相关卫生法律知识和公共场所卫生知识培训，或者安排未经相关卫生法律知识和公共场所卫生知识培训考核的从业人员上岗</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5人</w:t>
            </w:r>
            <w:r>
              <w:rPr>
                <w:rFonts w:hint="eastAsia" w:ascii="方正仿宋_GBK" w:hAnsi="方正仿宋_GBK" w:eastAsia="方正仿宋_GBK" w:cs="方正仿宋_GBK"/>
                <w:sz w:val="28"/>
                <w:szCs w:val="28"/>
                <w14:ligatures w14:val="standardContextual"/>
              </w:rPr>
              <w:t>≤</w:t>
            </w:r>
            <w:r>
              <w:rPr>
                <w:rFonts w:hint="eastAsia" w:ascii="方正仿宋_GBK" w:hAnsi="方正仿宋_GBK" w:eastAsia="方正仿宋_GBK" w:cs="方正仿宋_GBK"/>
                <w:spacing w:val="6"/>
                <w:sz w:val="28"/>
                <w:szCs w:val="28"/>
              </w:rPr>
              <w:t>涉及人数</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pacing w:val="6"/>
                <w:sz w:val="28"/>
                <w:szCs w:val="28"/>
                <w:lang w:val="en-US" w:eastAsia="zh-CN"/>
              </w:rPr>
              <w:t>10人，</w:t>
            </w:r>
            <w:r>
              <w:rPr>
                <w:rFonts w:hint="eastAsia" w:ascii="方正仿宋_GBK" w:hAnsi="方正仿宋_GBK" w:eastAsia="方正仿宋_GBK" w:cs="方正仿宋_GBK"/>
                <w:sz w:val="28"/>
                <w:szCs w:val="28"/>
                <w14:ligatures w14:val="standardContextual"/>
              </w:rPr>
              <w:t>经责令限期改正，逾期不改正的</w:t>
            </w:r>
          </w:p>
        </w:tc>
        <w:tc>
          <w:tcPr>
            <w:tcW w:w="2600" w:type="dxa"/>
            <w:vAlign w:val="center"/>
          </w:tcPr>
          <w:p w14:paraId="39C36E1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63E10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0" w:type="dxa"/>
            <w:vMerge w:val="restart"/>
            <w:vAlign w:val="center"/>
          </w:tcPr>
          <w:p w14:paraId="4954D62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780" w:type="dxa"/>
            <w:vAlign w:val="center"/>
          </w:tcPr>
          <w:p w14:paraId="37E9091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未按照规定组织从业人员进行相关卫生法律知识和公共场所卫生知识培训，或者安排未经相关卫生法律知识和公共场所卫生知识培训考核的从业人员上岗</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pacing w:val="6"/>
                <w:sz w:val="28"/>
                <w:szCs w:val="28"/>
              </w:rPr>
              <w:t>涉及人数≥</w:t>
            </w:r>
            <w:r>
              <w:rPr>
                <w:rFonts w:hint="eastAsia" w:ascii="方正仿宋_GBK" w:hAnsi="方正仿宋_GBK" w:eastAsia="方正仿宋_GBK" w:cs="方正仿宋_GBK"/>
                <w:sz w:val="28"/>
                <w:szCs w:val="28"/>
                <w:lang w:val="en-US" w:eastAsia="zh-CN"/>
                <w14:ligatures w14:val="standardContextual"/>
              </w:rPr>
              <w:t>10人</w:t>
            </w:r>
            <w:r>
              <w:rPr>
                <w:rFonts w:hint="eastAsia" w:ascii="方正仿宋_GBK" w:hAnsi="方正仿宋_GBK" w:eastAsia="方正仿宋_GBK" w:cs="方正仿宋_GBK"/>
                <w:spacing w:val="6"/>
                <w:sz w:val="28"/>
                <w:szCs w:val="28"/>
                <w:lang w:val="en-US" w:eastAsia="zh-CN"/>
              </w:rPr>
              <w:t>，</w:t>
            </w:r>
            <w:r>
              <w:rPr>
                <w:rFonts w:hint="eastAsia" w:ascii="方正仿宋_GBK" w:hAnsi="方正仿宋_GBK" w:eastAsia="方正仿宋_GBK" w:cs="方正仿宋_GBK"/>
                <w:sz w:val="28"/>
                <w:szCs w:val="28"/>
                <w14:ligatures w14:val="standardContextual"/>
              </w:rPr>
              <w:t>经责令限期改正，逾期不改正的</w:t>
            </w:r>
          </w:p>
        </w:tc>
        <w:tc>
          <w:tcPr>
            <w:tcW w:w="2600" w:type="dxa"/>
            <w:vAlign w:val="center"/>
          </w:tcPr>
          <w:p w14:paraId="78C974F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00元≤罚款&lt;</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222AE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0" w:type="dxa"/>
            <w:vMerge w:val="continue"/>
            <w:vAlign w:val="center"/>
          </w:tcPr>
          <w:p w14:paraId="4F15144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780" w:type="dxa"/>
            <w:shd w:val="clear" w:color="auto" w:fill="auto"/>
            <w:vAlign w:val="center"/>
          </w:tcPr>
          <w:p w14:paraId="164A79E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600" w:type="dxa"/>
            <w:shd w:val="clear" w:color="auto" w:fill="auto"/>
            <w:vAlign w:val="center"/>
          </w:tcPr>
          <w:p w14:paraId="0F83498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00元≤罚款&lt;</w:t>
            </w: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0000元</w:t>
            </w:r>
          </w:p>
        </w:tc>
      </w:tr>
      <w:tr w14:paraId="11C48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0" w:type="dxa"/>
            <w:vMerge w:val="restart"/>
            <w:vAlign w:val="center"/>
          </w:tcPr>
          <w:p w14:paraId="07FDC8D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情节严重</w:t>
            </w:r>
          </w:p>
        </w:tc>
        <w:tc>
          <w:tcPr>
            <w:tcW w:w="4780" w:type="dxa"/>
            <w:shd w:val="clear" w:color="auto" w:fill="auto"/>
            <w:vAlign w:val="center"/>
          </w:tcPr>
          <w:p w14:paraId="1ADC499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lang w:val="en-US" w:eastAsia="zh-CN"/>
                <w14:ligatures w14:val="standardContextual"/>
              </w:rPr>
              <w:t>逾期不改正造成特别严重后果或者造成社会舆论负面后果、群体性事件等严重社会影响的</w:t>
            </w:r>
          </w:p>
        </w:tc>
        <w:tc>
          <w:tcPr>
            <w:tcW w:w="2600" w:type="dxa"/>
            <w:shd w:val="clear" w:color="auto" w:fill="auto"/>
            <w:vAlign w:val="center"/>
          </w:tcPr>
          <w:p w14:paraId="238A721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color w:val="auto"/>
                <w:sz w:val="28"/>
                <w:szCs w:val="28"/>
                <w14:ligatures w14:val="standardContextual"/>
              </w:rPr>
              <w:t>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40F5D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410" w:type="dxa"/>
            <w:vMerge w:val="continue"/>
            <w:vAlign w:val="center"/>
          </w:tcPr>
          <w:p w14:paraId="135B1AA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780" w:type="dxa"/>
            <w:vAlign w:val="center"/>
          </w:tcPr>
          <w:p w14:paraId="6D60BDF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拒绝监督</w:t>
            </w:r>
            <w:r>
              <w:rPr>
                <w:rFonts w:hint="eastAsia" w:ascii="方正仿宋_GBK" w:hAnsi="方正仿宋_GBK" w:eastAsia="方正仿宋_GBK" w:cs="方正仿宋_GBK"/>
                <w:sz w:val="28"/>
                <w:szCs w:val="28"/>
                <w14:ligatures w14:val="standardContextual"/>
              </w:rPr>
              <w:t>造成</w:t>
            </w:r>
            <w:r>
              <w:rPr>
                <w:rFonts w:hint="eastAsia" w:ascii="方正仿宋_GBK" w:hAnsi="方正仿宋_GBK" w:eastAsia="方正仿宋_GBK" w:cs="方正仿宋_GBK"/>
                <w:sz w:val="28"/>
                <w:szCs w:val="28"/>
                <w:lang w:val="en-US" w:eastAsia="zh-CN"/>
                <w14:ligatures w14:val="standardContextual"/>
              </w:rPr>
              <w:t>特别严重后果或者造成社会舆论负面后果、群体性事件等严重社会影响的</w:t>
            </w:r>
          </w:p>
        </w:tc>
        <w:tc>
          <w:tcPr>
            <w:tcW w:w="2600" w:type="dxa"/>
            <w:vAlign w:val="center"/>
          </w:tcPr>
          <w:p w14:paraId="2C20B92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200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r>
              <w:rPr>
                <w:rFonts w:hint="eastAsia" w:ascii="方正仿宋_GBK" w:hAnsi="方正仿宋_GBK" w:eastAsia="方正仿宋_GBK" w:cs="方正仿宋_GBK"/>
                <w:color w:val="auto"/>
                <w:sz w:val="28"/>
                <w:szCs w:val="28"/>
                <w14:ligatures w14:val="standardContextual"/>
              </w:rPr>
              <w:t>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552AFA10">
      <w:pPr>
        <w:spacing w:line="480" w:lineRule="exact"/>
        <w:rPr>
          <w:rFonts w:ascii="Times New Roman" w:hAnsi="Times New Roman" w:eastAsia="方正黑体_GBK" w:cstheme="majorBidi"/>
          <w:spacing w:val="15"/>
          <w:sz w:val="28"/>
          <w:szCs w:val="28"/>
          <w14:ligatures w14:val="standardContextual"/>
        </w:rPr>
      </w:pPr>
    </w:p>
    <w:p w14:paraId="51926BB8">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案由七：未按照规定设置与其经营规模、项目相适应的清洗、消毒、保洁、盥洗等设施设备和公共卫生间，或者擅自停止使用、拆除上述设施设备，或者挪作他用的</w:t>
      </w:r>
    </w:p>
    <w:p w14:paraId="4D286B6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ACE5E2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三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6BC3D144">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未按照规定设置与其经营规模、项目相适应的清洗、消毒、保洁、盥洗等设施设备和公共卫生间，或者擅自停止使用、拆除上述设施设备，或者挪作他用的；</w:t>
      </w:r>
    </w:p>
    <w:p w14:paraId="2D4904B8">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337"/>
        <w:gridCol w:w="5537"/>
        <w:gridCol w:w="2186"/>
      </w:tblGrid>
      <w:tr w14:paraId="632B5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337" w:type="dxa"/>
            <w:vAlign w:val="center"/>
          </w:tcPr>
          <w:p w14:paraId="359E428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14:ligatures w14:val="standardContextual"/>
              </w:rPr>
              <w:t>裁量阶次</w:t>
            </w:r>
          </w:p>
        </w:tc>
        <w:tc>
          <w:tcPr>
            <w:tcW w:w="5537" w:type="dxa"/>
            <w:vAlign w:val="center"/>
          </w:tcPr>
          <w:p w14:paraId="72C077A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14:ligatures w14:val="standardContextual"/>
              </w:rPr>
              <w:t>适用条件</w:t>
            </w:r>
          </w:p>
        </w:tc>
        <w:tc>
          <w:tcPr>
            <w:tcW w:w="2186" w:type="dxa"/>
            <w:vAlign w:val="center"/>
          </w:tcPr>
          <w:p w14:paraId="7A1DA26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14:ligatures w14:val="standardContextual"/>
              </w:rPr>
              <w:t>具体标准</w:t>
            </w:r>
          </w:p>
        </w:tc>
      </w:tr>
      <w:tr w14:paraId="75254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Align w:val="center"/>
          </w:tcPr>
          <w:p w14:paraId="6FAD240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情节较轻</w:t>
            </w:r>
          </w:p>
        </w:tc>
        <w:tc>
          <w:tcPr>
            <w:tcW w:w="5537" w:type="dxa"/>
            <w:vAlign w:val="top"/>
          </w:tcPr>
          <w:p w14:paraId="42FFF4D0">
            <w:pPr>
              <w:pStyle w:val="11"/>
              <w:keepNext w:val="0"/>
              <w:keepLines w:val="0"/>
              <w:pageBreakBefore w:val="0"/>
              <w:widowControl w:val="0"/>
              <w:kinsoku/>
              <w:wordWrap/>
              <w:overflowPunct/>
              <w:topLinePunct w:val="0"/>
              <w:autoSpaceDE/>
              <w:autoSpaceDN/>
              <w:bidi w:val="0"/>
              <w:adjustRightInd/>
              <w:snapToGrid/>
              <w:spacing w:before="53" w:line="400" w:lineRule="exact"/>
              <w:ind w:left="105" w:leftChars="0" w:right="24" w:rightChars="0" w:firstLine="3" w:firstLineChars="0"/>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pacing w:val="3"/>
                <w:sz w:val="28"/>
                <w:szCs w:val="28"/>
              </w:rPr>
              <w:t>未按照规定设置、擅自停止使用与拆除、挪用上述设施设备、</w:t>
            </w:r>
            <w:r>
              <w:rPr>
                <w:rFonts w:hint="eastAsia" w:ascii="方正仿宋_GBK" w:hAnsi="方正仿宋_GBK" w:eastAsia="方正仿宋_GBK" w:cs="方正仿宋_GBK"/>
                <w:spacing w:val="5"/>
                <w:sz w:val="28"/>
                <w:szCs w:val="28"/>
              </w:rPr>
              <w:t>场所，涉及1种公共用品用具和场所的，经责令限期改正</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5"/>
                <w:sz w:val="28"/>
                <w:szCs w:val="28"/>
              </w:rPr>
              <w:t>，</w:t>
            </w:r>
            <w:r>
              <w:rPr>
                <w:rFonts w:hint="eastAsia" w:ascii="方正仿宋_GBK" w:hAnsi="方正仿宋_GBK" w:eastAsia="方正仿宋_GBK" w:cs="方正仿宋_GBK"/>
                <w:spacing w:val="9"/>
                <w:sz w:val="28"/>
                <w:szCs w:val="28"/>
              </w:rPr>
              <w:t>逾期不改正的</w:t>
            </w:r>
          </w:p>
        </w:tc>
        <w:tc>
          <w:tcPr>
            <w:tcW w:w="2186" w:type="dxa"/>
            <w:vAlign w:val="center"/>
          </w:tcPr>
          <w:p w14:paraId="2E8933B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6995F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Align w:val="center"/>
          </w:tcPr>
          <w:p w14:paraId="639470E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情节一般</w:t>
            </w:r>
          </w:p>
        </w:tc>
        <w:tc>
          <w:tcPr>
            <w:tcW w:w="5537" w:type="dxa"/>
            <w:vAlign w:val="top"/>
          </w:tcPr>
          <w:p w14:paraId="7B0D175B">
            <w:pPr>
              <w:pStyle w:val="11"/>
              <w:keepNext w:val="0"/>
              <w:keepLines w:val="0"/>
              <w:pageBreakBefore w:val="0"/>
              <w:widowControl w:val="0"/>
              <w:kinsoku/>
              <w:wordWrap/>
              <w:overflowPunct/>
              <w:topLinePunct w:val="0"/>
              <w:autoSpaceDE/>
              <w:autoSpaceDN/>
              <w:bidi w:val="0"/>
              <w:adjustRightInd/>
              <w:snapToGrid/>
              <w:spacing w:before="53" w:line="400" w:lineRule="exact"/>
              <w:ind w:left="105" w:leftChars="0" w:right="24" w:rightChars="0" w:firstLine="3" w:firstLineChars="0"/>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pacing w:val="3"/>
                <w:sz w:val="28"/>
                <w:szCs w:val="28"/>
              </w:rPr>
              <w:t>未按照规定设置、擅自停止使用与拆除、挪用上述设施设备、</w:t>
            </w:r>
            <w:r>
              <w:rPr>
                <w:rFonts w:hint="eastAsia" w:ascii="方正仿宋_GBK" w:hAnsi="方正仿宋_GBK" w:eastAsia="方正仿宋_GBK" w:cs="方正仿宋_GBK"/>
                <w:spacing w:val="5"/>
                <w:sz w:val="28"/>
                <w:szCs w:val="28"/>
              </w:rPr>
              <w:t>场所，涉及2种公共用品用具和场所的，经责令限期改正</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5"/>
                <w:sz w:val="28"/>
                <w:szCs w:val="28"/>
              </w:rPr>
              <w:t>，</w:t>
            </w:r>
            <w:r>
              <w:rPr>
                <w:rFonts w:hint="eastAsia" w:ascii="方正仿宋_GBK" w:hAnsi="方正仿宋_GBK" w:eastAsia="方正仿宋_GBK" w:cs="方正仿宋_GBK"/>
                <w:spacing w:val="9"/>
                <w:sz w:val="28"/>
                <w:szCs w:val="28"/>
              </w:rPr>
              <w:t>逾期不改正的</w:t>
            </w:r>
          </w:p>
        </w:tc>
        <w:tc>
          <w:tcPr>
            <w:tcW w:w="2186" w:type="dxa"/>
            <w:vAlign w:val="center"/>
          </w:tcPr>
          <w:p w14:paraId="609CD87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657CC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Merge w:val="restart"/>
            <w:shd w:val="clear"/>
            <w:vAlign w:val="center"/>
          </w:tcPr>
          <w:p w14:paraId="6460FC7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情节较重</w:t>
            </w:r>
          </w:p>
          <w:p w14:paraId="01F44434">
            <w:pPr>
              <w:keepNext w:val="0"/>
              <w:keepLines w:val="0"/>
              <w:pageBreakBefore w:val="0"/>
              <w:widowControl w:val="0"/>
              <w:numPr>
                <w:numId w:val="0"/>
              </w:numPr>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bCs w:val="0"/>
                <w:color w:val="auto"/>
                <w:sz w:val="32"/>
                <w:szCs w:val="32"/>
                <w:vertAlign w:val="baseline"/>
                <w:lang w:val="en-US" w:eastAsia="zh-CN"/>
              </w:rPr>
            </w:pPr>
          </w:p>
        </w:tc>
        <w:tc>
          <w:tcPr>
            <w:tcW w:w="5537" w:type="dxa"/>
            <w:vAlign w:val="top"/>
          </w:tcPr>
          <w:p w14:paraId="17A8F166">
            <w:pPr>
              <w:pStyle w:val="11"/>
              <w:keepNext w:val="0"/>
              <w:keepLines w:val="0"/>
              <w:pageBreakBefore w:val="0"/>
              <w:widowControl w:val="0"/>
              <w:kinsoku/>
              <w:wordWrap/>
              <w:overflowPunct/>
              <w:topLinePunct w:val="0"/>
              <w:autoSpaceDE/>
              <w:autoSpaceDN/>
              <w:bidi w:val="0"/>
              <w:adjustRightInd/>
              <w:snapToGrid/>
              <w:spacing w:before="53" w:line="400" w:lineRule="exact"/>
              <w:ind w:left="105" w:leftChars="0" w:right="24" w:rightChars="0" w:firstLine="3" w:firstLineChars="0"/>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pacing w:val="3"/>
                <w:sz w:val="28"/>
                <w:szCs w:val="28"/>
              </w:rPr>
              <w:t>未按照规定设置、擅自停止使用与拆除、挪用上述设施设备、</w:t>
            </w:r>
            <w:r>
              <w:rPr>
                <w:rFonts w:hint="eastAsia" w:ascii="方正仿宋_GBK" w:hAnsi="方正仿宋_GBK" w:eastAsia="方正仿宋_GBK" w:cs="方正仿宋_GBK"/>
                <w:spacing w:val="5"/>
                <w:sz w:val="28"/>
                <w:szCs w:val="28"/>
              </w:rPr>
              <w:t>场所，涉及3种公共用品用具和场所的，经责令限期改正</w:t>
            </w:r>
            <w:r>
              <w:rPr>
                <w:rFonts w:hint="eastAsia" w:ascii="方正仿宋_GBK" w:hAnsi="方正仿宋_GBK" w:eastAsia="方正仿宋_GBK" w:cs="方正仿宋_GBK"/>
                <w:spacing w:val="-22"/>
                <w:sz w:val="28"/>
                <w:szCs w:val="28"/>
              </w:rPr>
              <w:t xml:space="preserve"> </w:t>
            </w:r>
            <w:r>
              <w:rPr>
                <w:rFonts w:hint="eastAsia" w:ascii="方正仿宋_GBK" w:hAnsi="方正仿宋_GBK" w:eastAsia="方正仿宋_GBK" w:cs="方正仿宋_GBK"/>
                <w:spacing w:val="5"/>
                <w:sz w:val="28"/>
                <w:szCs w:val="28"/>
              </w:rPr>
              <w:t>，</w:t>
            </w:r>
            <w:r>
              <w:rPr>
                <w:rFonts w:hint="eastAsia" w:ascii="方正仿宋_GBK" w:hAnsi="方正仿宋_GBK" w:eastAsia="方正仿宋_GBK" w:cs="方正仿宋_GBK"/>
                <w:spacing w:val="9"/>
                <w:sz w:val="28"/>
                <w:szCs w:val="28"/>
              </w:rPr>
              <w:t>逾期不改正的</w:t>
            </w:r>
          </w:p>
        </w:tc>
        <w:tc>
          <w:tcPr>
            <w:tcW w:w="2186" w:type="dxa"/>
            <w:vAlign w:val="center"/>
          </w:tcPr>
          <w:p w14:paraId="687D673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36B23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Merge w:val="continue"/>
            <w:tcBorders/>
          </w:tcPr>
          <w:p w14:paraId="046B2588">
            <w:pPr>
              <w:keepNext w:val="0"/>
              <w:keepLines w:val="0"/>
              <w:pageBreakBefore w:val="0"/>
              <w:widowControl w:val="0"/>
              <w:numPr>
                <w:numId w:val="0"/>
              </w:numPr>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bCs w:val="0"/>
                <w:color w:val="auto"/>
                <w:sz w:val="32"/>
                <w:szCs w:val="32"/>
                <w:vertAlign w:val="baseline"/>
                <w:lang w:val="en-US" w:eastAsia="zh-CN"/>
              </w:rPr>
            </w:pPr>
          </w:p>
        </w:tc>
        <w:tc>
          <w:tcPr>
            <w:tcW w:w="5537" w:type="dxa"/>
            <w:vAlign w:val="center"/>
          </w:tcPr>
          <w:p w14:paraId="17C2336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186" w:type="dxa"/>
            <w:vAlign w:val="center"/>
          </w:tcPr>
          <w:p w14:paraId="17E4A30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p>
        </w:tc>
      </w:tr>
      <w:tr w14:paraId="0B3A8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Merge w:val="restart"/>
            <w:shd w:val="clear"/>
            <w:vAlign w:val="center"/>
          </w:tcPr>
          <w:p w14:paraId="115321E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情节严重</w:t>
            </w:r>
          </w:p>
        </w:tc>
        <w:tc>
          <w:tcPr>
            <w:tcW w:w="5537" w:type="dxa"/>
            <w:vAlign w:val="center"/>
          </w:tcPr>
          <w:p w14:paraId="1DE162A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lang w:val="en-US" w:eastAsia="zh-CN"/>
                <w14:ligatures w14:val="standardContextual"/>
              </w:rPr>
              <w:t>逾期不改正造成特别严重后果或者造成社会舆论负面后果、群体性事件等严重社会影响的</w:t>
            </w:r>
          </w:p>
        </w:tc>
        <w:tc>
          <w:tcPr>
            <w:tcW w:w="2186" w:type="dxa"/>
            <w:vAlign w:val="center"/>
          </w:tcPr>
          <w:p w14:paraId="74C849C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30151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337" w:type="dxa"/>
            <w:vMerge w:val="continue"/>
            <w:tcBorders/>
          </w:tcPr>
          <w:p w14:paraId="4FCA4F9F">
            <w:pPr>
              <w:keepNext w:val="0"/>
              <w:keepLines w:val="0"/>
              <w:pageBreakBefore w:val="0"/>
              <w:widowControl w:val="0"/>
              <w:numPr>
                <w:numId w:val="0"/>
              </w:numPr>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b/>
                <w:bCs w:val="0"/>
                <w:color w:val="auto"/>
                <w:sz w:val="32"/>
                <w:szCs w:val="32"/>
                <w:vertAlign w:val="baseline"/>
                <w:lang w:val="en-US" w:eastAsia="zh-CN"/>
              </w:rPr>
            </w:pPr>
          </w:p>
        </w:tc>
        <w:tc>
          <w:tcPr>
            <w:tcW w:w="5537" w:type="dxa"/>
            <w:vAlign w:val="center"/>
          </w:tcPr>
          <w:p w14:paraId="481AC3D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sz w:val="28"/>
                <w:szCs w:val="28"/>
                <w:lang w:val="en-US" w:eastAsia="zh-CN"/>
                <w14:ligatures w14:val="standardContextual"/>
              </w:rPr>
              <w:t>拒绝监督</w:t>
            </w:r>
            <w:r>
              <w:rPr>
                <w:rFonts w:hint="eastAsia" w:ascii="方正仿宋_GBK" w:hAnsi="方正仿宋_GBK" w:eastAsia="方正仿宋_GBK" w:cs="方正仿宋_GBK"/>
                <w:sz w:val="28"/>
                <w:szCs w:val="28"/>
                <w14:ligatures w14:val="standardContextual"/>
              </w:rPr>
              <w:t>造成</w:t>
            </w:r>
            <w:r>
              <w:rPr>
                <w:rFonts w:hint="eastAsia" w:ascii="方正仿宋_GBK" w:hAnsi="方正仿宋_GBK" w:eastAsia="方正仿宋_GBK" w:cs="方正仿宋_GBK"/>
                <w:sz w:val="28"/>
                <w:szCs w:val="28"/>
                <w:lang w:val="en-US" w:eastAsia="zh-CN"/>
                <w14:ligatures w14:val="standardContextual"/>
              </w:rPr>
              <w:t>特别严重后果或者造成社会舆论负面后果、群体性事件等严重社会影响的</w:t>
            </w:r>
          </w:p>
        </w:tc>
        <w:tc>
          <w:tcPr>
            <w:tcW w:w="2186" w:type="dxa"/>
            <w:vAlign w:val="center"/>
          </w:tcPr>
          <w:p w14:paraId="03837DB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14:ligatures w14:val="standardContextual"/>
              </w:rPr>
              <w:t>警告，罚款30000元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73DF6C54">
      <w:pPr>
        <w:spacing w:line="480" w:lineRule="exact"/>
        <w:ind w:firstLine="700" w:firstLineChars="200"/>
        <w:rPr>
          <w:rFonts w:hint="eastAsia" w:ascii="Times New Roman" w:hAnsi="Times New Roman" w:eastAsia="方正小标宋_GBK" w:cstheme="majorBidi"/>
          <w:spacing w:val="15"/>
          <w:sz w:val="32"/>
          <w:szCs w:val="32"/>
          <w:lang w:val="en-US" w:eastAsia="zh-CN"/>
          <w14:ligatures w14:val="standardContextual"/>
        </w:rPr>
      </w:pPr>
    </w:p>
    <w:p w14:paraId="699B5B87">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八：未按照规定配备预防控制鼠、蚊、蝇、蟑螂和其他病媒生物的设施设备以及废弃物存放专用设施设备，或者擅自停止使用、拆除预防控制鼠、蚊、蝇、蟑螂和其他病媒生物的设施设备以及废弃物存放专用设施设备的</w:t>
      </w:r>
    </w:p>
    <w:p w14:paraId="150F03F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72553A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四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48D5C9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四）未按照规定配备预防控制鼠、蚊、蝇、蟑螂和其他病媒生物的设施设备以及废弃物存放专用设施设备，或者擅自停止使用、拆除预防控制鼠、蚊、蝇、蟑螂和其他病媒生物的设施设备以及废弃物存放专用设施设备的；</w:t>
      </w:r>
    </w:p>
    <w:p w14:paraId="171EC1F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4270"/>
        <w:gridCol w:w="3010"/>
      </w:tblGrid>
      <w:tr w14:paraId="539C7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705" w:type="dxa"/>
            <w:vAlign w:val="center"/>
          </w:tcPr>
          <w:p w14:paraId="7879C8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270" w:type="dxa"/>
            <w:vAlign w:val="center"/>
          </w:tcPr>
          <w:p w14:paraId="5D70148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3010" w:type="dxa"/>
            <w:vAlign w:val="center"/>
          </w:tcPr>
          <w:p w14:paraId="265A931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28545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vAlign w:val="center"/>
          </w:tcPr>
          <w:p w14:paraId="0C4E1F0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270" w:type="dxa"/>
            <w:vAlign w:val="top"/>
          </w:tcPr>
          <w:p w14:paraId="3B01CD12">
            <w:pPr>
              <w:pStyle w:val="11"/>
              <w:keepNext w:val="0"/>
              <w:keepLines w:val="0"/>
              <w:pageBreakBefore w:val="0"/>
              <w:widowControl w:val="0"/>
              <w:kinsoku/>
              <w:wordWrap/>
              <w:overflowPunct/>
              <w:topLinePunct w:val="0"/>
              <w:autoSpaceDE/>
              <w:autoSpaceDN/>
              <w:bidi w:val="0"/>
              <w:adjustRightInd/>
              <w:snapToGrid/>
              <w:spacing w:before="84" w:line="400" w:lineRule="exact"/>
              <w:ind w:left="105" w:leftChars="0" w:right="105" w:rightChars="0" w:firstLine="2"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8"/>
                <w:sz w:val="28"/>
                <w:szCs w:val="28"/>
              </w:rPr>
              <w:t>未按照规定配备</w:t>
            </w:r>
            <w:r>
              <w:rPr>
                <w:rFonts w:hint="eastAsia" w:ascii="方正仿宋_GBK" w:hAnsi="方正仿宋_GBK" w:eastAsia="方正仿宋_GBK" w:cs="方正仿宋_GBK"/>
                <w:spacing w:val="-18"/>
                <w:sz w:val="28"/>
                <w:szCs w:val="28"/>
              </w:rPr>
              <w:t xml:space="preserve"> </w:t>
            </w:r>
            <w:r>
              <w:rPr>
                <w:rFonts w:hint="eastAsia" w:ascii="方正仿宋_GBK" w:hAnsi="方正仿宋_GBK" w:eastAsia="方正仿宋_GBK" w:cs="方正仿宋_GBK"/>
                <w:spacing w:val="8"/>
                <w:sz w:val="28"/>
                <w:szCs w:val="28"/>
              </w:rPr>
              <w:t>、擅自停止使用</w:t>
            </w:r>
            <w:r>
              <w:rPr>
                <w:rFonts w:hint="eastAsia" w:ascii="方正仿宋_GBK" w:hAnsi="方正仿宋_GBK" w:eastAsia="方正仿宋_GBK" w:cs="方正仿宋_GBK"/>
                <w:spacing w:val="-32"/>
                <w:sz w:val="28"/>
                <w:szCs w:val="28"/>
              </w:rPr>
              <w:t xml:space="preserve"> </w:t>
            </w:r>
            <w:r>
              <w:rPr>
                <w:rFonts w:hint="eastAsia" w:ascii="方正仿宋_GBK" w:hAnsi="方正仿宋_GBK" w:eastAsia="方正仿宋_GBK" w:cs="方正仿宋_GBK"/>
                <w:spacing w:val="8"/>
                <w:sz w:val="28"/>
                <w:szCs w:val="28"/>
              </w:rPr>
              <w:t>、拆除上述设施设备</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8"/>
                <w:sz w:val="28"/>
                <w:szCs w:val="28"/>
              </w:rPr>
              <w:t>，涉</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4"/>
                <w:sz w:val="28"/>
                <w:szCs w:val="28"/>
              </w:rPr>
              <w:t>及1种</w:t>
            </w:r>
            <w:r>
              <w:rPr>
                <w:rFonts w:hint="eastAsia" w:ascii="方正仿宋_GBK" w:hAnsi="方正仿宋_GBK" w:eastAsia="方正仿宋_GBK" w:cs="方正仿宋_GBK"/>
                <w:spacing w:val="-17"/>
                <w:sz w:val="28"/>
                <w:szCs w:val="28"/>
              </w:rPr>
              <w:t xml:space="preserve"> </w:t>
            </w:r>
            <w:r>
              <w:rPr>
                <w:rFonts w:hint="eastAsia" w:ascii="方正仿宋_GBK" w:hAnsi="方正仿宋_GBK" w:eastAsia="方正仿宋_GBK" w:cs="方正仿宋_GBK"/>
                <w:spacing w:val="4"/>
                <w:sz w:val="28"/>
                <w:szCs w:val="28"/>
              </w:rPr>
              <w:t>，经责令限期改正</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4"/>
                <w:sz w:val="28"/>
                <w:szCs w:val="28"/>
              </w:rPr>
              <w:t>，逾期不改正的</w:t>
            </w:r>
          </w:p>
        </w:tc>
        <w:tc>
          <w:tcPr>
            <w:tcW w:w="3010" w:type="dxa"/>
            <w:vAlign w:val="center"/>
          </w:tcPr>
          <w:p w14:paraId="5D68160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13501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vAlign w:val="center"/>
          </w:tcPr>
          <w:p w14:paraId="718719C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270" w:type="dxa"/>
            <w:vAlign w:val="top"/>
          </w:tcPr>
          <w:p w14:paraId="636E5EAE">
            <w:pPr>
              <w:pStyle w:val="11"/>
              <w:keepNext w:val="0"/>
              <w:keepLines w:val="0"/>
              <w:pageBreakBefore w:val="0"/>
              <w:widowControl w:val="0"/>
              <w:kinsoku/>
              <w:wordWrap/>
              <w:overflowPunct/>
              <w:topLinePunct w:val="0"/>
              <w:autoSpaceDE/>
              <w:autoSpaceDN/>
              <w:bidi w:val="0"/>
              <w:adjustRightInd/>
              <w:snapToGrid/>
              <w:spacing w:before="211" w:line="400" w:lineRule="exact"/>
              <w:ind w:left="105" w:leftChars="0" w:right="105" w:rightChars="0" w:firstLine="2"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8"/>
                <w:sz w:val="28"/>
                <w:szCs w:val="28"/>
              </w:rPr>
              <w:t>未按照规定配备</w:t>
            </w:r>
            <w:r>
              <w:rPr>
                <w:rFonts w:hint="eastAsia" w:ascii="方正仿宋_GBK" w:hAnsi="方正仿宋_GBK" w:eastAsia="方正仿宋_GBK" w:cs="方正仿宋_GBK"/>
                <w:spacing w:val="-18"/>
                <w:sz w:val="28"/>
                <w:szCs w:val="28"/>
              </w:rPr>
              <w:t xml:space="preserve"> </w:t>
            </w:r>
            <w:r>
              <w:rPr>
                <w:rFonts w:hint="eastAsia" w:ascii="方正仿宋_GBK" w:hAnsi="方正仿宋_GBK" w:eastAsia="方正仿宋_GBK" w:cs="方正仿宋_GBK"/>
                <w:spacing w:val="8"/>
                <w:sz w:val="28"/>
                <w:szCs w:val="28"/>
              </w:rPr>
              <w:t>、擅自停止使用</w:t>
            </w:r>
            <w:r>
              <w:rPr>
                <w:rFonts w:hint="eastAsia" w:ascii="方正仿宋_GBK" w:hAnsi="方正仿宋_GBK" w:eastAsia="方正仿宋_GBK" w:cs="方正仿宋_GBK"/>
                <w:spacing w:val="-32"/>
                <w:sz w:val="28"/>
                <w:szCs w:val="28"/>
              </w:rPr>
              <w:t xml:space="preserve"> </w:t>
            </w:r>
            <w:r>
              <w:rPr>
                <w:rFonts w:hint="eastAsia" w:ascii="方正仿宋_GBK" w:hAnsi="方正仿宋_GBK" w:eastAsia="方正仿宋_GBK" w:cs="方正仿宋_GBK"/>
                <w:spacing w:val="8"/>
                <w:sz w:val="28"/>
                <w:szCs w:val="28"/>
              </w:rPr>
              <w:t>、拆除上述设施设备</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8"/>
                <w:sz w:val="28"/>
                <w:szCs w:val="28"/>
              </w:rPr>
              <w:t>，涉</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4"/>
                <w:sz w:val="28"/>
                <w:szCs w:val="28"/>
              </w:rPr>
              <w:t>及2种</w:t>
            </w:r>
            <w:r>
              <w:rPr>
                <w:rFonts w:hint="eastAsia" w:ascii="方正仿宋_GBK" w:hAnsi="方正仿宋_GBK" w:eastAsia="方正仿宋_GBK" w:cs="方正仿宋_GBK"/>
                <w:spacing w:val="-17"/>
                <w:sz w:val="28"/>
                <w:szCs w:val="28"/>
              </w:rPr>
              <w:t xml:space="preserve"> </w:t>
            </w:r>
            <w:r>
              <w:rPr>
                <w:rFonts w:hint="eastAsia" w:ascii="方正仿宋_GBK" w:hAnsi="方正仿宋_GBK" w:eastAsia="方正仿宋_GBK" w:cs="方正仿宋_GBK"/>
                <w:spacing w:val="4"/>
                <w:sz w:val="28"/>
                <w:szCs w:val="28"/>
              </w:rPr>
              <w:t>，经责令限期改正</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4"/>
                <w:sz w:val="28"/>
                <w:szCs w:val="28"/>
              </w:rPr>
              <w:t>，逾期不改正的</w:t>
            </w:r>
          </w:p>
        </w:tc>
        <w:tc>
          <w:tcPr>
            <w:tcW w:w="3010" w:type="dxa"/>
            <w:vAlign w:val="center"/>
          </w:tcPr>
          <w:p w14:paraId="2672AE3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6B335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vMerge w:val="restart"/>
            <w:vAlign w:val="center"/>
          </w:tcPr>
          <w:p w14:paraId="69BEA2E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270" w:type="dxa"/>
            <w:vAlign w:val="top"/>
          </w:tcPr>
          <w:p w14:paraId="2112EC0A">
            <w:pPr>
              <w:pStyle w:val="11"/>
              <w:keepNext w:val="0"/>
              <w:keepLines w:val="0"/>
              <w:pageBreakBefore w:val="0"/>
              <w:widowControl w:val="0"/>
              <w:kinsoku/>
              <w:wordWrap/>
              <w:overflowPunct/>
              <w:topLinePunct w:val="0"/>
              <w:autoSpaceDE/>
              <w:autoSpaceDN/>
              <w:bidi w:val="0"/>
              <w:adjustRightInd/>
              <w:snapToGrid/>
              <w:spacing w:before="87" w:line="400" w:lineRule="exact"/>
              <w:ind w:left="105" w:leftChars="0" w:right="105" w:rightChars="0" w:firstLine="2"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8"/>
                <w:sz w:val="28"/>
                <w:szCs w:val="28"/>
              </w:rPr>
              <w:t>未按照规定配备</w:t>
            </w:r>
            <w:r>
              <w:rPr>
                <w:rFonts w:hint="eastAsia" w:ascii="方正仿宋_GBK" w:hAnsi="方正仿宋_GBK" w:eastAsia="方正仿宋_GBK" w:cs="方正仿宋_GBK"/>
                <w:spacing w:val="-18"/>
                <w:sz w:val="28"/>
                <w:szCs w:val="28"/>
              </w:rPr>
              <w:t xml:space="preserve"> </w:t>
            </w:r>
            <w:r>
              <w:rPr>
                <w:rFonts w:hint="eastAsia" w:ascii="方正仿宋_GBK" w:hAnsi="方正仿宋_GBK" w:eastAsia="方正仿宋_GBK" w:cs="方正仿宋_GBK"/>
                <w:spacing w:val="8"/>
                <w:sz w:val="28"/>
                <w:szCs w:val="28"/>
              </w:rPr>
              <w:t>、擅自停止使用</w:t>
            </w:r>
            <w:r>
              <w:rPr>
                <w:rFonts w:hint="eastAsia" w:ascii="方正仿宋_GBK" w:hAnsi="方正仿宋_GBK" w:eastAsia="方正仿宋_GBK" w:cs="方正仿宋_GBK"/>
                <w:spacing w:val="-32"/>
                <w:sz w:val="28"/>
                <w:szCs w:val="28"/>
              </w:rPr>
              <w:t xml:space="preserve"> </w:t>
            </w:r>
            <w:r>
              <w:rPr>
                <w:rFonts w:hint="eastAsia" w:ascii="方正仿宋_GBK" w:hAnsi="方正仿宋_GBK" w:eastAsia="方正仿宋_GBK" w:cs="方正仿宋_GBK"/>
                <w:spacing w:val="8"/>
                <w:sz w:val="28"/>
                <w:szCs w:val="28"/>
              </w:rPr>
              <w:t>、拆除上述设施设备</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8"/>
                <w:sz w:val="28"/>
                <w:szCs w:val="28"/>
              </w:rPr>
              <w:t>，涉</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4"/>
                <w:sz w:val="28"/>
                <w:szCs w:val="28"/>
              </w:rPr>
              <w:t>及3种以上</w:t>
            </w:r>
            <w:r>
              <w:rPr>
                <w:rFonts w:hint="eastAsia" w:ascii="方正仿宋_GBK" w:hAnsi="方正仿宋_GBK" w:eastAsia="方正仿宋_GBK" w:cs="方正仿宋_GBK"/>
                <w:spacing w:val="-5"/>
                <w:sz w:val="28"/>
                <w:szCs w:val="28"/>
              </w:rPr>
              <w:t xml:space="preserve"> </w:t>
            </w:r>
            <w:r>
              <w:rPr>
                <w:rFonts w:hint="eastAsia" w:ascii="方正仿宋_GBK" w:hAnsi="方正仿宋_GBK" w:eastAsia="方正仿宋_GBK" w:cs="方正仿宋_GBK"/>
                <w:spacing w:val="4"/>
                <w:sz w:val="28"/>
                <w:szCs w:val="28"/>
              </w:rPr>
              <w:t>，经责令限期改正</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4"/>
                <w:sz w:val="28"/>
                <w:szCs w:val="28"/>
              </w:rPr>
              <w:t>，逾期不改正的</w:t>
            </w:r>
          </w:p>
        </w:tc>
        <w:tc>
          <w:tcPr>
            <w:tcW w:w="3010" w:type="dxa"/>
            <w:vAlign w:val="center"/>
          </w:tcPr>
          <w:p w14:paraId="52A835C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38CE2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vMerge w:val="continue"/>
            <w:vAlign w:val="center"/>
          </w:tcPr>
          <w:p w14:paraId="140085A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270" w:type="dxa"/>
            <w:shd w:val="clear" w:color="auto" w:fill="auto"/>
            <w:vAlign w:val="center"/>
          </w:tcPr>
          <w:p w14:paraId="1B53ABE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3010" w:type="dxa"/>
            <w:shd w:val="clear" w:color="auto" w:fill="auto"/>
            <w:vAlign w:val="center"/>
          </w:tcPr>
          <w:p w14:paraId="13116DF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p>
        </w:tc>
      </w:tr>
      <w:tr w14:paraId="23852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vMerge w:val="restart"/>
            <w:vAlign w:val="center"/>
          </w:tcPr>
          <w:p w14:paraId="2A83421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情节严重</w:t>
            </w:r>
          </w:p>
        </w:tc>
        <w:tc>
          <w:tcPr>
            <w:tcW w:w="4270" w:type="dxa"/>
            <w:shd w:val="clear" w:color="auto" w:fill="auto"/>
            <w:vAlign w:val="center"/>
          </w:tcPr>
          <w:p w14:paraId="51508D5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lang w:val="en-US" w:eastAsia="zh-CN"/>
                <w14:ligatures w14:val="standardContextual"/>
              </w:rPr>
              <w:t>逾期不改正造成特别严重后果或者造成社会舆论负面后果、群体性事件等严重社会影响的</w:t>
            </w:r>
          </w:p>
        </w:tc>
        <w:tc>
          <w:tcPr>
            <w:tcW w:w="3010" w:type="dxa"/>
            <w:shd w:val="clear" w:color="auto" w:fill="auto"/>
            <w:vAlign w:val="center"/>
          </w:tcPr>
          <w:p w14:paraId="6E2475C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41B47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705" w:type="dxa"/>
            <w:vMerge w:val="continue"/>
            <w:vAlign w:val="center"/>
          </w:tcPr>
          <w:p w14:paraId="404EF10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270" w:type="dxa"/>
            <w:vAlign w:val="center"/>
          </w:tcPr>
          <w:p w14:paraId="612FBB3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拒绝监督</w:t>
            </w:r>
            <w:r>
              <w:rPr>
                <w:rFonts w:hint="eastAsia" w:ascii="方正仿宋_GBK" w:hAnsi="方正仿宋_GBK" w:eastAsia="方正仿宋_GBK" w:cs="方正仿宋_GBK"/>
                <w:sz w:val="28"/>
                <w:szCs w:val="28"/>
                <w14:ligatures w14:val="standardContextual"/>
              </w:rPr>
              <w:t>造成</w:t>
            </w:r>
            <w:r>
              <w:rPr>
                <w:rFonts w:hint="eastAsia" w:ascii="方正仿宋_GBK" w:hAnsi="方正仿宋_GBK" w:eastAsia="方正仿宋_GBK" w:cs="方正仿宋_GBK"/>
                <w:sz w:val="28"/>
                <w:szCs w:val="28"/>
                <w:lang w:val="en-US" w:eastAsia="zh-CN"/>
                <w14:ligatures w14:val="standardContextual"/>
              </w:rPr>
              <w:t>特别严重后果或者造成社会舆论负面后果、群体性事件等严重社会影响的</w:t>
            </w:r>
          </w:p>
        </w:tc>
        <w:tc>
          <w:tcPr>
            <w:tcW w:w="3010" w:type="dxa"/>
            <w:vAlign w:val="center"/>
          </w:tcPr>
          <w:p w14:paraId="1C3D79F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警告，罚款30000元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54C9E85A">
      <w:pPr>
        <w:spacing w:line="560" w:lineRule="exact"/>
        <w:rPr>
          <w:rFonts w:ascii="Times New Roman" w:hAnsi="Times New Roman" w:eastAsia="方正小标宋_GBK" w:cstheme="majorBidi"/>
          <w:spacing w:val="15"/>
          <w:sz w:val="32"/>
          <w:szCs w:val="32"/>
          <w14:ligatures w14:val="standardContextual"/>
        </w:rPr>
      </w:pPr>
    </w:p>
    <w:p w14:paraId="47C705BA">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案由九：未按照规定索取公共卫生用品检验合格证明和其他相关资料的</w:t>
      </w:r>
    </w:p>
    <w:p w14:paraId="0B4EEE7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2D95DB2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五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4963FF1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（五）未按照规定索取公共卫生用品检验合格证明和其他相关资料的；</w:t>
      </w:r>
    </w:p>
    <w:p w14:paraId="54878D4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spacing w:val="15"/>
          <w:sz w:val="32"/>
          <w:szCs w:val="32"/>
          <w14:ligatures w14:val="standardContextual"/>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5"/>
        <w:gridCol w:w="4106"/>
        <w:gridCol w:w="2841"/>
      </w:tblGrid>
      <w:tr w14:paraId="7D733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575" w:type="dxa"/>
            <w:vAlign w:val="center"/>
          </w:tcPr>
          <w:p w14:paraId="2A11421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106" w:type="dxa"/>
            <w:vAlign w:val="center"/>
          </w:tcPr>
          <w:p w14:paraId="349838B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841" w:type="dxa"/>
            <w:vAlign w:val="center"/>
          </w:tcPr>
          <w:p w14:paraId="734E11F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4796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5" w:type="dxa"/>
            <w:vAlign w:val="center"/>
          </w:tcPr>
          <w:p w14:paraId="1403B05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106" w:type="dxa"/>
            <w:vAlign w:val="top"/>
          </w:tcPr>
          <w:p w14:paraId="2D0032EE">
            <w:pPr>
              <w:pStyle w:val="11"/>
              <w:keepNext w:val="0"/>
              <w:keepLines w:val="0"/>
              <w:pageBreakBefore w:val="0"/>
              <w:widowControl w:val="0"/>
              <w:kinsoku/>
              <w:wordWrap/>
              <w:overflowPunct/>
              <w:topLinePunct w:val="0"/>
              <w:autoSpaceDE/>
              <w:autoSpaceDN/>
              <w:bidi w:val="0"/>
              <w:adjustRightInd/>
              <w:snapToGrid/>
              <w:spacing w:before="87" w:line="400" w:lineRule="exact"/>
              <w:ind w:left="109" w:leftChars="0" w:right="105" w:rightChars="0" w:hanging="1"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8"/>
                <w:sz w:val="28"/>
                <w:szCs w:val="28"/>
              </w:rPr>
              <w:t>未索取上述证明和资料的种类达2种以下，经责令限期</w:t>
            </w:r>
            <w:r>
              <w:rPr>
                <w:rFonts w:hint="eastAsia" w:ascii="方正仿宋_GBK" w:hAnsi="方正仿宋_GBK" w:eastAsia="方正仿宋_GBK" w:cs="方正仿宋_GBK"/>
                <w:spacing w:val="2"/>
                <w:sz w:val="28"/>
                <w:szCs w:val="28"/>
              </w:rPr>
              <w:t xml:space="preserve"> </w:t>
            </w:r>
            <w:r>
              <w:rPr>
                <w:rFonts w:hint="eastAsia" w:ascii="方正仿宋_GBK" w:hAnsi="方正仿宋_GBK" w:eastAsia="方正仿宋_GBK" w:cs="方正仿宋_GBK"/>
                <w:spacing w:val="4"/>
                <w:sz w:val="28"/>
                <w:szCs w:val="28"/>
              </w:rPr>
              <w:t>改正</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4"/>
                <w:sz w:val="28"/>
                <w:szCs w:val="28"/>
              </w:rPr>
              <w:t>，逾期不改正的</w:t>
            </w:r>
          </w:p>
        </w:tc>
        <w:tc>
          <w:tcPr>
            <w:tcW w:w="2841" w:type="dxa"/>
            <w:vAlign w:val="center"/>
          </w:tcPr>
          <w:p w14:paraId="22FB8CD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4D6B5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5" w:type="dxa"/>
            <w:vAlign w:val="center"/>
          </w:tcPr>
          <w:p w14:paraId="6B427B9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106" w:type="dxa"/>
            <w:vAlign w:val="top"/>
          </w:tcPr>
          <w:p w14:paraId="536753D4">
            <w:pPr>
              <w:pStyle w:val="11"/>
              <w:keepNext w:val="0"/>
              <w:keepLines w:val="0"/>
              <w:pageBreakBefore w:val="0"/>
              <w:widowControl w:val="0"/>
              <w:kinsoku/>
              <w:wordWrap/>
              <w:overflowPunct/>
              <w:topLinePunct w:val="0"/>
              <w:autoSpaceDE/>
              <w:autoSpaceDN/>
              <w:bidi w:val="0"/>
              <w:adjustRightInd/>
              <w:snapToGrid/>
              <w:spacing w:before="139" w:line="400" w:lineRule="exact"/>
              <w:ind w:left="110" w:leftChars="0" w:right="193" w:rightChars="0" w:hanging="2"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6"/>
                <w:sz w:val="28"/>
                <w:szCs w:val="28"/>
              </w:rPr>
              <w:t>未索取上述证明和资料的种类达2种以上4种以下</w:t>
            </w:r>
            <w:r>
              <w:rPr>
                <w:rFonts w:hint="eastAsia" w:ascii="方正仿宋_GBK" w:hAnsi="方正仿宋_GBK" w:eastAsia="方正仿宋_GBK" w:cs="方正仿宋_GBK"/>
                <w:spacing w:val="-15"/>
                <w:sz w:val="28"/>
                <w:szCs w:val="28"/>
              </w:rPr>
              <w:t xml:space="preserve"> </w:t>
            </w:r>
            <w:r>
              <w:rPr>
                <w:rFonts w:hint="eastAsia" w:ascii="方正仿宋_GBK" w:hAnsi="方正仿宋_GBK" w:eastAsia="方正仿宋_GBK" w:cs="方正仿宋_GBK"/>
                <w:spacing w:val="6"/>
                <w:sz w:val="28"/>
                <w:szCs w:val="28"/>
              </w:rPr>
              <w:t>，经</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责令限期改正</w:t>
            </w:r>
            <w:r>
              <w:rPr>
                <w:rFonts w:hint="eastAsia" w:ascii="方正仿宋_GBK" w:hAnsi="方正仿宋_GBK" w:eastAsia="方正仿宋_GBK" w:cs="方正仿宋_GBK"/>
                <w:spacing w:val="-17"/>
                <w:sz w:val="28"/>
                <w:szCs w:val="28"/>
              </w:rPr>
              <w:t xml:space="preserve"> </w:t>
            </w:r>
            <w:r>
              <w:rPr>
                <w:rFonts w:hint="eastAsia" w:ascii="方正仿宋_GBK" w:hAnsi="方正仿宋_GBK" w:eastAsia="方正仿宋_GBK" w:cs="方正仿宋_GBK"/>
                <w:spacing w:val="6"/>
                <w:sz w:val="28"/>
                <w:szCs w:val="28"/>
              </w:rPr>
              <w:t>，逾期不改正的</w:t>
            </w:r>
          </w:p>
        </w:tc>
        <w:tc>
          <w:tcPr>
            <w:tcW w:w="2841" w:type="dxa"/>
            <w:vAlign w:val="center"/>
          </w:tcPr>
          <w:p w14:paraId="70CD8A4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23C51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5" w:type="dxa"/>
            <w:vMerge w:val="restart"/>
            <w:vAlign w:val="center"/>
          </w:tcPr>
          <w:p w14:paraId="4D75DE1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106" w:type="dxa"/>
            <w:vAlign w:val="top"/>
          </w:tcPr>
          <w:p w14:paraId="3C6CFF80">
            <w:pPr>
              <w:pStyle w:val="11"/>
              <w:keepNext w:val="0"/>
              <w:keepLines w:val="0"/>
              <w:pageBreakBefore w:val="0"/>
              <w:widowControl w:val="0"/>
              <w:kinsoku/>
              <w:wordWrap/>
              <w:overflowPunct/>
              <w:topLinePunct w:val="0"/>
              <w:autoSpaceDE/>
              <w:autoSpaceDN/>
              <w:bidi w:val="0"/>
              <w:adjustRightInd/>
              <w:snapToGrid/>
              <w:spacing w:before="123" w:line="400" w:lineRule="exact"/>
              <w:ind w:left="109" w:leftChars="0" w:right="105" w:rightChars="0" w:hanging="1" w:firstLineChars="0"/>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pacing w:val="8"/>
                <w:sz w:val="28"/>
                <w:szCs w:val="28"/>
              </w:rPr>
              <w:t>未索取上述证明和资料的种类达4种以上，经责令限期</w:t>
            </w:r>
            <w:r>
              <w:rPr>
                <w:rFonts w:hint="eastAsia" w:ascii="方正仿宋_GBK" w:hAnsi="方正仿宋_GBK" w:eastAsia="方正仿宋_GBK" w:cs="方正仿宋_GBK"/>
                <w:spacing w:val="2"/>
                <w:sz w:val="28"/>
                <w:szCs w:val="28"/>
              </w:rPr>
              <w:t xml:space="preserve"> </w:t>
            </w:r>
            <w:r>
              <w:rPr>
                <w:rFonts w:hint="eastAsia" w:ascii="方正仿宋_GBK" w:hAnsi="方正仿宋_GBK" w:eastAsia="方正仿宋_GBK" w:cs="方正仿宋_GBK"/>
                <w:spacing w:val="4"/>
                <w:sz w:val="28"/>
                <w:szCs w:val="28"/>
              </w:rPr>
              <w:t>改正</w:t>
            </w:r>
            <w:r>
              <w:rPr>
                <w:rFonts w:hint="eastAsia" w:ascii="方正仿宋_GBK" w:hAnsi="方正仿宋_GBK" w:eastAsia="方正仿宋_GBK" w:cs="方正仿宋_GBK"/>
                <w:spacing w:val="-14"/>
                <w:sz w:val="28"/>
                <w:szCs w:val="28"/>
              </w:rPr>
              <w:t xml:space="preserve"> </w:t>
            </w:r>
            <w:r>
              <w:rPr>
                <w:rFonts w:hint="eastAsia" w:ascii="方正仿宋_GBK" w:hAnsi="方正仿宋_GBK" w:eastAsia="方正仿宋_GBK" w:cs="方正仿宋_GBK"/>
                <w:spacing w:val="4"/>
                <w:sz w:val="28"/>
                <w:szCs w:val="28"/>
              </w:rPr>
              <w:t>，逾期不改正的</w:t>
            </w:r>
          </w:p>
        </w:tc>
        <w:tc>
          <w:tcPr>
            <w:tcW w:w="2841" w:type="dxa"/>
            <w:vAlign w:val="center"/>
          </w:tcPr>
          <w:p w14:paraId="36B1F43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1B103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5" w:type="dxa"/>
            <w:vMerge w:val="continue"/>
            <w:vAlign w:val="center"/>
          </w:tcPr>
          <w:p w14:paraId="66F87A5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106" w:type="dxa"/>
            <w:shd w:val="clear" w:color="auto" w:fill="auto"/>
            <w:vAlign w:val="center"/>
          </w:tcPr>
          <w:p w14:paraId="09AEC45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841" w:type="dxa"/>
            <w:shd w:val="clear" w:color="auto" w:fill="auto"/>
            <w:vAlign w:val="center"/>
          </w:tcPr>
          <w:p w14:paraId="614C0FE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p>
        </w:tc>
      </w:tr>
      <w:tr w14:paraId="46E0B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5" w:type="dxa"/>
            <w:vMerge w:val="restart"/>
            <w:vAlign w:val="center"/>
          </w:tcPr>
          <w:p w14:paraId="3C8A1A1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情节严重</w:t>
            </w:r>
          </w:p>
        </w:tc>
        <w:tc>
          <w:tcPr>
            <w:tcW w:w="4106" w:type="dxa"/>
            <w:shd w:val="clear" w:color="auto" w:fill="auto"/>
            <w:vAlign w:val="center"/>
          </w:tcPr>
          <w:p w14:paraId="76AB436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lang w:val="en-US" w:eastAsia="zh-CN"/>
                <w14:ligatures w14:val="standardContextual"/>
              </w:rPr>
              <w:t>逾期不改正造成特别严重后果或者造成社会舆论负面后果、群体性事件等严重社会影响的</w:t>
            </w:r>
          </w:p>
        </w:tc>
        <w:tc>
          <w:tcPr>
            <w:tcW w:w="2841" w:type="dxa"/>
            <w:shd w:val="clear" w:color="auto" w:fill="auto"/>
            <w:vAlign w:val="center"/>
          </w:tcPr>
          <w:p w14:paraId="762D112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19806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575" w:type="dxa"/>
            <w:vMerge w:val="continue"/>
            <w:vAlign w:val="center"/>
          </w:tcPr>
          <w:p w14:paraId="64026D4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106" w:type="dxa"/>
            <w:vAlign w:val="center"/>
          </w:tcPr>
          <w:p w14:paraId="191B0FE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拒绝监督</w:t>
            </w:r>
            <w:r>
              <w:rPr>
                <w:rFonts w:hint="eastAsia" w:ascii="方正仿宋_GBK" w:hAnsi="方正仿宋_GBK" w:eastAsia="方正仿宋_GBK" w:cs="方正仿宋_GBK"/>
                <w:sz w:val="28"/>
                <w:szCs w:val="28"/>
                <w14:ligatures w14:val="standardContextual"/>
              </w:rPr>
              <w:t>造成</w:t>
            </w:r>
            <w:r>
              <w:rPr>
                <w:rFonts w:hint="eastAsia" w:ascii="方正仿宋_GBK" w:hAnsi="方正仿宋_GBK" w:eastAsia="方正仿宋_GBK" w:cs="方正仿宋_GBK"/>
                <w:sz w:val="28"/>
                <w:szCs w:val="28"/>
                <w:lang w:val="en-US" w:eastAsia="zh-CN"/>
                <w14:ligatures w14:val="standardContextual"/>
              </w:rPr>
              <w:t>特别严重后果或者造成社会舆论负面后果、群体性事件等严重社会影响的</w:t>
            </w:r>
          </w:p>
        </w:tc>
        <w:tc>
          <w:tcPr>
            <w:tcW w:w="2841" w:type="dxa"/>
            <w:vAlign w:val="center"/>
          </w:tcPr>
          <w:p w14:paraId="61C3430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警告，罚款30000元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485DA577">
      <w:pPr>
        <w:spacing w:line="560" w:lineRule="exact"/>
        <w:rPr>
          <w:rFonts w:ascii="Times New Roman" w:hAnsi="Times New Roman" w:eastAsia="方正仿宋_GBK" w:cs="方正仿宋_GBK"/>
          <w:sz w:val="28"/>
          <w:szCs w:val="28"/>
        </w:rPr>
      </w:pPr>
    </w:p>
    <w:p w14:paraId="3FFF0634">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案由十：公共场所集中空调通风系统未经卫生检测或者评价不合格而投入使用的</w:t>
      </w:r>
    </w:p>
    <w:p w14:paraId="25EB73E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5C5238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七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1FFA1C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（七）公共场所集中空调通风系统未经卫生检测或者评价不合格而投入使用的；</w:t>
      </w:r>
    </w:p>
    <w:p w14:paraId="1825C89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5"/>
        <w:gridCol w:w="4870"/>
        <w:gridCol w:w="2640"/>
      </w:tblGrid>
      <w:tr w14:paraId="70130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435" w:type="dxa"/>
            <w:vAlign w:val="center"/>
          </w:tcPr>
          <w:p w14:paraId="133CEB8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870" w:type="dxa"/>
            <w:vAlign w:val="center"/>
          </w:tcPr>
          <w:p w14:paraId="2F7E809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640" w:type="dxa"/>
            <w:vAlign w:val="center"/>
          </w:tcPr>
          <w:p w14:paraId="6FAFEA6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0083A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5" w:type="dxa"/>
            <w:vAlign w:val="center"/>
          </w:tcPr>
          <w:p w14:paraId="72C707D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870" w:type="dxa"/>
            <w:vAlign w:val="center"/>
          </w:tcPr>
          <w:p w14:paraId="3B26572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公共场所集中空调通风系统未经卫生检测而投入使用的，逾期未改</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pacing w:val="5"/>
                <w:sz w:val="28"/>
                <w:szCs w:val="28"/>
                <w:lang w:eastAsia="zh-CN"/>
              </w:rPr>
              <w:t>具有《</w:t>
            </w:r>
            <w:r>
              <w:rPr>
                <w:rFonts w:hint="eastAsia" w:ascii="方正仿宋_GBK" w:hAnsi="方正仿宋_GBK" w:eastAsia="方正仿宋_GBK" w:cs="方正仿宋_GBK"/>
                <w:spacing w:val="5"/>
                <w:sz w:val="28"/>
                <w:szCs w:val="28"/>
                <w:lang w:val="en-US" w:eastAsia="zh-CN"/>
              </w:rPr>
              <w:t>江苏省卫生健康</w:t>
            </w:r>
            <w:r>
              <w:rPr>
                <w:rFonts w:hint="eastAsia" w:ascii="方正仿宋_GBK" w:hAnsi="方正仿宋_GBK" w:eastAsia="方正仿宋_GBK" w:cs="方正仿宋_GBK"/>
                <w:spacing w:val="5"/>
                <w:sz w:val="28"/>
                <w:szCs w:val="28"/>
                <w:lang w:eastAsia="zh-CN"/>
              </w:rPr>
              <w:t>行政处罚裁量适用办法》从轻情形</w:t>
            </w:r>
          </w:p>
        </w:tc>
        <w:tc>
          <w:tcPr>
            <w:tcW w:w="2640" w:type="dxa"/>
            <w:vAlign w:val="center"/>
          </w:tcPr>
          <w:p w14:paraId="40A2E72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6AA0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5" w:type="dxa"/>
            <w:vAlign w:val="center"/>
          </w:tcPr>
          <w:p w14:paraId="3C6C882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870" w:type="dxa"/>
            <w:vAlign w:val="center"/>
          </w:tcPr>
          <w:p w14:paraId="452A02E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公共场所集中空调通风系统评价不合格而投入使用的，逾期未改</w:t>
            </w:r>
            <w:r>
              <w:rPr>
                <w:rFonts w:hint="eastAsia" w:ascii="方正仿宋_GBK" w:hAnsi="方正仿宋_GBK" w:eastAsia="方正仿宋_GBK" w:cs="方正仿宋_GBK"/>
                <w:sz w:val="28"/>
                <w:szCs w:val="28"/>
                <w:lang w:eastAsia="zh-CN"/>
                <w14:ligatures w14:val="standardContextual"/>
              </w:rPr>
              <w:t>，不</w:t>
            </w:r>
            <w:r>
              <w:rPr>
                <w:rFonts w:hint="eastAsia" w:ascii="方正仿宋_GBK" w:hAnsi="方正仿宋_GBK" w:eastAsia="方正仿宋_GBK" w:cs="方正仿宋_GBK"/>
                <w:spacing w:val="5"/>
                <w:sz w:val="28"/>
                <w:szCs w:val="28"/>
                <w:lang w:eastAsia="zh-CN"/>
              </w:rPr>
              <w:t>具有《</w:t>
            </w:r>
            <w:r>
              <w:rPr>
                <w:rFonts w:hint="eastAsia" w:ascii="方正仿宋_GBK" w:hAnsi="方正仿宋_GBK" w:eastAsia="方正仿宋_GBK" w:cs="方正仿宋_GBK"/>
                <w:spacing w:val="5"/>
                <w:sz w:val="28"/>
                <w:szCs w:val="28"/>
                <w:lang w:val="en-US" w:eastAsia="zh-CN"/>
              </w:rPr>
              <w:t>江苏省卫生健康</w:t>
            </w:r>
            <w:r>
              <w:rPr>
                <w:rFonts w:hint="eastAsia" w:ascii="方正仿宋_GBK" w:hAnsi="方正仿宋_GBK" w:eastAsia="方正仿宋_GBK" w:cs="方正仿宋_GBK"/>
                <w:spacing w:val="5"/>
                <w:sz w:val="28"/>
                <w:szCs w:val="28"/>
                <w:lang w:eastAsia="zh-CN"/>
              </w:rPr>
              <w:t>行政处罚裁量适用办法》从轻、从重情形</w:t>
            </w:r>
          </w:p>
        </w:tc>
        <w:tc>
          <w:tcPr>
            <w:tcW w:w="2640" w:type="dxa"/>
            <w:vAlign w:val="center"/>
          </w:tcPr>
          <w:p w14:paraId="08926FF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16B8F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5" w:type="dxa"/>
            <w:vMerge w:val="restart"/>
            <w:vAlign w:val="center"/>
          </w:tcPr>
          <w:p w14:paraId="114192D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870" w:type="dxa"/>
            <w:vAlign w:val="center"/>
          </w:tcPr>
          <w:p w14:paraId="5BF5A48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公共场所集中空调通风系统未经卫生检测而投入使用的，逾期未改</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pacing w:val="5"/>
                <w:sz w:val="28"/>
                <w:szCs w:val="28"/>
                <w:lang w:eastAsia="zh-CN"/>
              </w:rPr>
              <w:t>具有《</w:t>
            </w:r>
            <w:r>
              <w:rPr>
                <w:rFonts w:hint="eastAsia" w:ascii="方正仿宋_GBK" w:hAnsi="方正仿宋_GBK" w:eastAsia="方正仿宋_GBK" w:cs="方正仿宋_GBK"/>
                <w:spacing w:val="5"/>
                <w:sz w:val="28"/>
                <w:szCs w:val="28"/>
                <w:lang w:val="en-US" w:eastAsia="zh-CN"/>
              </w:rPr>
              <w:t>江苏省卫生健康</w:t>
            </w:r>
            <w:r>
              <w:rPr>
                <w:rFonts w:hint="eastAsia" w:ascii="方正仿宋_GBK" w:hAnsi="方正仿宋_GBK" w:eastAsia="方正仿宋_GBK" w:cs="方正仿宋_GBK"/>
                <w:spacing w:val="5"/>
                <w:sz w:val="28"/>
                <w:szCs w:val="28"/>
                <w:lang w:eastAsia="zh-CN"/>
              </w:rPr>
              <w:t>行政处罚裁量适用办法》从重情形</w:t>
            </w:r>
          </w:p>
        </w:tc>
        <w:tc>
          <w:tcPr>
            <w:tcW w:w="2640" w:type="dxa"/>
            <w:vAlign w:val="center"/>
          </w:tcPr>
          <w:p w14:paraId="0739B36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28D09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5" w:type="dxa"/>
            <w:vMerge w:val="continue"/>
            <w:vAlign w:val="center"/>
          </w:tcPr>
          <w:p w14:paraId="152FE21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870" w:type="dxa"/>
            <w:shd w:val="clear" w:color="auto" w:fill="auto"/>
            <w:vAlign w:val="center"/>
          </w:tcPr>
          <w:p w14:paraId="0D2FDF1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640" w:type="dxa"/>
            <w:shd w:val="clear" w:color="auto" w:fill="auto"/>
            <w:vAlign w:val="center"/>
          </w:tcPr>
          <w:p w14:paraId="777478D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p>
        </w:tc>
      </w:tr>
      <w:tr w14:paraId="23E04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35" w:type="dxa"/>
            <w:vMerge w:val="restart"/>
            <w:vAlign w:val="center"/>
          </w:tcPr>
          <w:p w14:paraId="5BFDCF1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情节严重</w:t>
            </w:r>
          </w:p>
        </w:tc>
        <w:tc>
          <w:tcPr>
            <w:tcW w:w="4870" w:type="dxa"/>
            <w:shd w:val="clear" w:color="auto" w:fill="auto"/>
            <w:vAlign w:val="center"/>
          </w:tcPr>
          <w:p w14:paraId="5C5A9FA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lang w:val="en-US" w:eastAsia="zh-CN"/>
                <w14:ligatures w14:val="standardContextual"/>
              </w:rPr>
              <w:t>逾期不改正造成特别严重后果或者造成社会舆论负面后果、群体性事件等严重社会影响的</w:t>
            </w:r>
          </w:p>
        </w:tc>
        <w:tc>
          <w:tcPr>
            <w:tcW w:w="2640" w:type="dxa"/>
            <w:shd w:val="clear" w:color="auto" w:fill="auto"/>
            <w:vAlign w:val="center"/>
          </w:tcPr>
          <w:p w14:paraId="47FC99E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color w:val="auto"/>
                <w:sz w:val="28"/>
                <w:szCs w:val="28"/>
                <w14:ligatures w14:val="standardContextual"/>
              </w:rPr>
              <w:t>警告，罚款</w:t>
            </w:r>
            <w:r>
              <w:rPr>
                <w:rFonts w:hint="eastAsia" w:ascii="方正仿宋_GBK" w:hAnsi="方正仿宋_GBK" w:eastAsia="方正仿宋_GBK" w:cs="方正仿宋_GBK"/>
                <w:color w:val="auto"/>
                <w:sz w:val="28"/>
                <w:szCs w:val="28"/>
                <w:lang w:val="en-US" w:eastAsia="zh-CN"/>
                <w14:ligatures w14:val="standardContextual"/>
              </w:rPr>
              <w:t>1</w:t>
            </w:r>
            <w:r>
              <w:rPr>
                <w:rFonts w:hint="eastAsia" w:ascii="方正仿宋_GBK" w:hAnsi="方正仿宋_GBK" w:eastAsia="方正仿宋_GBK" w:cs="方正仿宋_GBK"/>
                <w:color w:val="auto"/>
                <w:sz w:val="28"/>
                <w:szCs w:val="28"/>
                <w14:ligatures w14:val="standardContextual"/>
              </w:rPr>
              <w:t>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r w14:paraId="75722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435" w:type="dxa"/>
            <w:vMerge w:val="continue"/>
            <w:vAlign w:val="center"/>
          </w:tcPr>
          <w:p w14:paraId="0668F36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870" w:type="dxa"/>
            <w:vAlign w:val="center"/>
          </w:tcPr>
          <w:p w14:paraId="7185A96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lang w:val="en-US" w:eastAsia="zh-CN"/>
                <w14:ligatures w14:val="standardContextual"/>
              </w:rPr>
              <w:t>拒绝监督</w:t>
            </w:r>
            <w:r>
              <w:rPr>
                <w:rFonts w:hint="eastAsia" w:ascii="方正仿宋_GBK" w:hAnsi="方正仿宋_GBK" w:eastAsia="方正仿宋_GBK" w:cs="方正仿宋_GBK"/>
                <w:sz w:val="28"/>
                <w:szCs w:val="28"/>
                <w14:ligatures w14:val="standardContextual"/>
              </w:rPr>
              <w:t>造成</w:t>
            </w:r>
            <w:r>
              <w:rPr>
                <w:rFonts w:hint="eastAsia" w:ascii="方正仿宋_GBK" w:hAnsi="方正仿宋_GBK" w:eastAsia="方正仿宋_GBK" w:cs="方正仿宋_GBK"/>
                <w:sz w:val="28"/>
                <w:szCs w:val="28"/>
                <w:lang w:val="en-US" w:eastAsia="zh-CN"/>
                <w14:ligatures w14:val="standardContextual"/>
              </w:rPr>
              <w:t>特别严重后果或者造成社会舆论负面后果、群体性事件等严重社会影响的</w:t>
            </w:r>
          </w:p>
        </w:tc>
        <w:tc>
          <w:tcPr>
            <w:tcW w:w="2640" w:type="dxa"/>
            <w:vAlign w:val="center"/>
          </w:tcPr>
          <w:p w14:paraId="1692D81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警告，罚款30000元</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65367208">
      <w:pPr>
        <w:spacing w:line="560" w:lineRule="exact"/>
        <w:rPr>
          <w:rFonts w:ascii="Times New Roman" w:hAnsi="Times New Roman" w:eastAsia="黑体" w:cs="黑体"/>
          <w:sz w:val="32"/>
          <w:szCs w:val="32"/>
        </w:rPr>
      </w:pPr>
    </w:p>
    <w:p w14:paraId="7E04B751">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案由十一：未按照规定公示公共场所卫生许可证、卫生检测结果和卫生信誉度等级的</w:t>
      </w:r>
    </w:p>
    <w:p w14:paraId="0413C7A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1E0E02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公共场所管理条例实施细则》第三十七条第八项：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w:t>
      </w:r>
    </w:p>
    <w:p w14:paraId="1A9332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32"/>
          <w:szCs w:val="32"/>
          <w14:ligatures w14:val="standardContextual"/>
        </w:rPr>
      </w:pPr>
      <w:r>
        <w:rPr>
          <w:rFonts w:hint="eastAsia" w:ascii="Times New Roman" w:hAnsi="Times New Roman" w:eastAsia="方正仿宋_GBK"/>
          <w:sz w:val="32"/>
          <w:szCs w:val="32"/>
          <w14:ligatures w14:val="standardContextual"/>
        </w:rPr>
        <w:t>（八）未按照规定公示公共场所卫生许可证、卫生检测结果和卫生信誉度等级的；</w:t>
      </w:r>
    </w:p>
    <w:p w14:paraId="3F08CA5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1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4530"/>
        <w:gridCol w:w="2860"/>
      </w:tblGrid>
      <w:tr w14:paraId="5A364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420" w:type="dxa"/>
            <w:vAlign w:val="center"/>
          </w:tcPr>
          <w:p w14:paraId="18A3CDB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裁量阶次</w:t>
            </w:r>
          </w:p>
        </w:tc>
        <w:tc>
          <w:tcPr>
            <w:tcW w:w="4530" w:type="dxa"/>
            <w:vAlign w:val="center"/>
          </w:tcPr>
          <w:p w14:paraId="5E4CA0F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适用条件</w:t>
            </w:r>
          </w:p>
        </w:tc>
        <w:tc>
          <w:tcPr>
            <w:tcW w:w="2860" w:type="dxa"/>
            <w:vAlign w:val="center"/>
          </w:tcPr>
          <w:p w14:paraId="67BD69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14:ligatures w14:val="standardContextual"/>
              </w:rPr>
            </w:pPr>
            <w:r>
              <w:rPr>
                <w:rFonts w:hint="eastAsia" w:ascii="方正楷体_GBK" w:hAnsi="方正楷体_GBK" w:eastAsia="方正楷体_GBK" w:cs="方正楷体_GBK"/>
                <w:b w:val="0"/>
                <w:bCs w:val="0"/>
                <w:sz w:val="28"/>
                <w:szCs w:val="28"/>
                <w14:ligatures w14:val="standardContextual"/>
              </w:rPr>
              <w:t>具体标准</w:t>
            </w:r>
          </w:p>
        </w:tc>
      </w:tr>
      <w:tr w14:paraId="553A1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3A7465C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530" w:type="dxa"/>
            <w:vAlign w:val="center"/>
          </w:tcPr>
          <w:p w14:paraId="3F469B5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存在未按照规定公示公共场所卫生许可证、卫生检测结果和卫生信誉度等级的违法行为，涉及1项的，经责令限期改正，逾期不改正的</w:t>
            </w:r>
          </w:p>
        </w:tc>
        <w:tc>
          <w:tcPr>
            <w:tcW w:w="2860" w:type="dxa"/>
            <w:vAlign w:val="center"/>
          </w:tcPr>
          <w:p w14:paraId="7835B00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30A12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63B2AD6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530" w:type="dxa"/>
            <w:vAlign w:val="center"/>
          </w:tcPr>
          <w:p w14:paraId="4463FEF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存在未按照规定公示公共场所卫生许可证、卫生检测结果和卫生信誉度等级的违法行为，涉及</w:t>
            </w: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项的，经责令限期改正，逾期不改正的</w:t>
            </w:r>
          </w:p>
        </w:tc>
        <w:tc>
          <w:tcPr>
            <w:tcW w:w="2860" w:type="dxa"/>
            <w:vAlign w:val="center"/>
          </w:tcPr>
          <w:p w14:paraId="01E5A6C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6242C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Merge w:val="restart"/>
            <w:vAlign w:val="center"/>
          </w:tcPr>
          <w:p w14:paraId="0CC8D7E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530" w:type="dxa"/>
            <w:vAlign w:val="center"/>
          </w:tcPr>
          <w:p w14:paraId="56D7834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存在未按照规定公示公共场所卫生许可证、卫生检测结果和卫生信誉度等级的违法行为，涉及</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项的，经责令限期改正，逾期不改正的</w:t>
            </w:r>
          </w:p>
        </w:tc>
        <w:tc>
          <w:tcPr>
            <w:tcW w:w="2860" w:type="dxa"/>
            <w:vAlign w:val="center"/>
          </w:tcPr>
          <w:p w14:paraId="107D126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r w14:paraId="58EE3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Merge w:val="continue"/>
            <w:vAlign w:val="center"/>
          </w:tcPr>
          <w:p w14:paraId="7CF7F7A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14:ligatures w14:val="standardContextual"/>
              </w:rPr>
            </w:pPr>
          </w:p>
        </w:tc>
        <w:tc>
          <w:tcPr>
            <w:tcW w:w="4530" w:type="dxa"/>
            <w:shd w:val="clear" w:color="auto" w:fill="auto"/>
            <w:vAlign w:val="center"/>
          </w:tcPr>
          <w:p w14:paraId="719565B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拒绝卫生监督执法工作，</w:t>
            </w:r>
            <w:r>
              <w:rPr>
                <w:rFonts w:hint="eastAsia" w:ascii="方正仿宋_GBK" w:hAnsi="方正仿宋_GBK" w:eastAsia="方正仿宋_GBK" w:cs="方正仿宋_GBK"/>
                <w:bCs/>
                <w:kern w:val="0"/>
                <w:sz w:val="28"/>
                <w:szCs w:val="28"/>
              </w:rPr>
              <w:t>影响执法活动正常开展的</w:t>
            </w:r>
            <w:r>
              <w:rPr>
                <w:rFonts w:hint="eastAsia" w:ascii="方正仿宋_GBK" w:hAnsi="方正仿宋_GBK" w:eastAsia="方正仿宋_GBK" w:cs="方正仿宋_GBK"/>
                <w:sz w:val="28"/>
                <w:szCs w:val="28"/>
              </w:rPr>
              <w:t>。</w:t>
            </w:r>
          </w:p>
        </w:tc>
        <w:tc>
          <w:tcPr>
            <w:tcW w:w="2860" w:type="dxa"/>
            <w:shd w:val="clear" w:color="auto" w:fill="auto"/>
            <w:vAlign w:val="center"/>
          </w:tcPr>
          <w:p w14:paraId="664E65D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2"/>
                <w:sz w:val="28"/>
                <w:szCs w:val="28"/>
                <w:lang w:val="en-US" w:eastAsia="zh-CN" w:bidi="ar-SA"/>
                <w14:ligatures w14:val="standardContextual"/>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100</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0000元</w:t>
            </w:r>
          </w:p>
        </w:tc>
      </w:tr>
    </w:tbl>
    <w:p w14:paraId="16757480">
      <w:pPr>
        <w:spacing w:line="560" w:lineRule="exact"/>
        <w:rPr>
          <w:rFonts w:ascii="Times New Roman" w:hAnsi="Times New Roman" w:eastAsia="方正仿宋_GBK" w:cs="方正仿宋_GBK"/>
          <w:sz w:val="28"/>
          <w:szCs w:val="28"/>
        </w:rPr>
      </w:pPr>
    </w:p>
    <w:p w14:paraId="217DD554">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案由十二：公共场所经营者对发生的危害健康事故未立即采取处置措施导致危害扩大，或隐瞒、缓报、谎报危害健康事故的</w:t>
      </w:r>
    </w:p>
    <w:p w14:paraId="33346EF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2C7FA8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ascii="Times New Roman" w:hAnsi="Times New Roman" w:eastAsia="方正仿宋_GBK"/>
          <w:sz w:val="28"/>
          <w:szCs w:val="28"/>
          <w14:ligatures w14:val="standardContextual"/>
        </w:rPr>
      </w:pPr>
      <w:r>
        <w:rPr>
          <w:rFonts w:hint="eastAsia" w:ascii="Times New Roman" w:hAnsi="Times New Roman" w:eastAsia="方正仿宋_GBK"/>
          <w:sz w:val="32"/>
          <w:szCs w:val="32"/>
          <w14:ligatures w14:val="standardContextual"/>
        </w:rPr>
        <w:t>《公共场所管理条例实施细则》第三十九条：公共场所经营者对发生的危害健康事故未立即采取处置措施，导致危害扩大，或者隐瞒、缓报、谎报的，由县级以上地方人民政府卫生计生行政部门处以五千元以上三万元以下罚款；情节严重的，可以依法责令停业整顿，直至吊销卫生许可证。构成犯罪的，依法追究刑事责任。</w:t>
      </w:r>
    </w:p>
    <w:p w14:paraId="7EB3FEC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5"/>
        <w:gridCol w:w="4610"/>
        <w:gridCol w:w="2840"/>
      </w:tblGrid>
      <w:tr w14:paraId="647DB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1495" w:type="dxa"/>
            <w:vAlign w:val="center"/>
          </w:tcPr>
          <w:p w14:paraId="22C5C2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color w:val="auto"/>
                <w:sz w:val="28"/>
                <w:szCs w:val="28"/>
                <w14:ligatures w14:val="standardContextual"/>
              </w:rPr>
            </w:pPr>
            <w:r>
              <w:rPr>
                <w:rFonts w:hint="eastAsia" w:ascii="方正楷体_GBK" w:hAnsi="方正楷体_GBK" w:eastAsia="方正楷体_GBK" w:cs="方正楷体_GBK"/>
                <w:b w:val="0"/>
                <w:bCs w:val="0"/>
                <w:color w:val="auto"/>
                <w:sz w:val="28"/>
                <w:szCs w:val="28"/>
                <w14:ligatures w14:val="standardContextual"/>
              </w:rPr>
              <w:t>裁量阶次</w:t>
            </w:r>
          </w:p>
        </w:tc>
        <w:tc>
          <w:tcPr>
            <w:tcW w:w="4610" w:type="dxa"/>
            <w:vAlign w:val="center"/>
          </w:tcPr>
          <w:p w14:paraId="506CB1D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color w:val="auto"/>
                <w:sz w:val="28"/>
                <w:szCs w:val="28"/>
                <w14:ligatures w14:val="standardContextual"/>
              </w:rPr>
            </w:pPr>
            <w:r>
              <w:rPr>
                <w:rFonts w:hint="eastAsia" w:ascii="方正楷体_GBK" w:hAnsi="方正楷体_GBK" w:eastAsia="方正楷体_GBK" w:cs="方正楷体_GBK"/>
                <w:b w:val="0"/>
                <w:bCs w:val="0"/>
                <w:color w:val="auto"/>
                <w:sz w:val="28"/>
                <w:szCs w:val="28"/>
                <w14:ligatures w14:val="standardContextual"/>
              </w:rPr>
              <w:t>适用条件</w:t>
            </w:r>
          </w:p>
        </w:tc>
        <w:tc>
          <w:tcPr>
            <w:tcW w:w="2840" w:type="dxa"/>
            <w:vAlign w:val="center"/>
          </w:tcPr>
          <w:p w14:paraId="53D59CF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color w:val="auto"/>
                <w:sz w:val="28"/>
                <w:szCs w:val="28"/>
                <w14:ligatures w14:val="standardContextual"/>
              </w:rPr>
            </w:pPr>
            <w:r>
              <w:rPr>
                <w:rFonts w:hint="eastAsia" w:ascii="方正楷体_GBK" w:hAnsi="方正楷体_GBK" w:eastAsia="方正楷体_GBK" w:cs="方正楷体_GBK"/>
                <w:b w:val="0"/>
                <w:bCs w:val="0"/>
                <w:color w:val="auto"/>
                <w:sz w:val="28"/>
                <w:szCs w:val="28"/>
                <w14:ligatures w14:val="standardContextual"/>
              </w:rPr>
              <w:t>具体标准</w:t>
            </w:r>
          </w:p>
        </w:tc>
      </w:tr>
      <w:tr w14:paraId="182C0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5" w:type="dxa"/>
            <w:vAlign w:val="center"/>
          </w:tcPr>
          <w:p w14:paraId="320C635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val="en-US" w:eastAsia="zh-CN"/>
                <w14:ligatures w14:val="standardContextual"/>
              </w:rPr>
            </w:pPr>
            <w:r>
              <w:rPr>
                <w:rFonts w:hint="eastAsia" w:ascii="方正仿宋_GBK" w:hAnsi="方正仿宋_GBK" w:eastAsia="方正仿宋_GBK" w:cs="方正仿宋_GBK"/>
                <w:sz w:val="28"/>
                <w:szCs w:val="28"/>
                <w14:ligatures w14:val="standardContextual"/>
              </w:rPr>
              <w:t>情节较轻</w:t>
            </w:r>
          </w:p>
        </w:tc>
        <w:tc>
          <w:tcPr>
            <w:tcW w:w="4610" w:type="dxa"/>
            <w:vAlign w:val="center"/>
          </w:tcPr>
          <w:p w14:paraId="4FC823B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color w:val="auto"/>
                <w:sz w:val="28"/>
                <w:szCs w:val="28"/>
                <w14:ligatures w14:val="standardContextual"/>
              </w:rPr>
              <w:t>对发生的危害健康事故，缓报事故信息</w:t>
            </w:r>
            <w:r>
              <w:rPr>
                <w:rFonts w:hint="eastAsia" w:ascii="方正仿宋_GBK" w:hAnsi="方正仿宋_GBK" w:eastAsia="方正仿宋_GBK" w:cs="方正仿宋_GBK"/>
                <w:color w:val="auto"/>
                <w:sz w:val="28"/>
                <w:szCs w:val="28"/>
                <w:lang w:eastAsia="zh-CN"/>
                <w14:ligatures w14:val="standardContextual"/>
              </w:rPr>
              <w:t>的</w:t>
            </w:r>
          </w:p>
        </w:tc>
        <w:tc>
          <w:tcPr>
            <w:tcW w:w="2840" w:type="dxa"/>
            <w:vAlign w:val="center"/>
          </w:tcPr>
          <w:p w14:paraId="7E10DC8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5000元≤罚款</w:t>
            </w:r>
            <w:r>
              <w:rPr>
                <w:rFonts w:hint="eastAsia" w:ascii="方正仿宋_GBK" w:hAnsi="方正仿宋_GBK" w:eastAsia="方正仿宋_GBK" w:cs="方正仿宋_GBK"/>
                <w:color w:val="auto"/>
                <w:sz w:val="28"/>
                <w:szCs w:val="28"/>
              </w:rPr>
              <w:t>&lt;</w:t>
            </w:r>
            <w:r>
              <w:rPr>
                <w:rFonts w:hint="eastAsia" w:ascii="方正仿宋_GBK" w:hAnsi="方正仿宋_GBK" w:eastAsia="方正仿宋_GBK" w:cs="方正仿宋_GBK"/>
                <w:color w:val="auto"/>
                <w:sz w:val="28"/>
                <w:szCs w:val="28"/>
                <w14:ligatures w14:val="standardContextual"/>
              </w:rPr>
              <w:t>1</w:t>
            </w:r>
            <w:r>
              <w:rPr>
                <w:rFonts w:hint="eastAsia" w:ascii="方正仿宋_GBK" w:hAnsi="方正仿宋_GBK" w:eastAsia="方正仿宋_GBK" w:cs="方正仿宋_GBK"/>
                <w:color w:val="auto"/>
                <w:sz w:val="28"/>
                <w:szCs w:val="28"/>
                <w:lang w:val="en-US" w:eastAsia="zh-CN"/>
                <w14:ligatures w14:val="standardContextual"/>
              </w:rPr>
              <w:t>25</w:t>
            </w:r>
            <w:r>
              <w:rPr>
                <w:rFonts w:hint="eastAsia" w:ascii="方正仿宋_GBK" w:hAnsi="方正仿宋_GBK" w:eastAsia="方正仿宋_GBK" w:cs="方正仿宋_GBK"/>
                <w:color w:val="auto"/>
                <w:sz w:val="28"/>
                <w:szCs w:val="28"/>
                <w14:ligatures w14:val="standardContextual"/>
              </w:rPr>
              <w:t>00元</w:t>
            </w:r>
          </w:p>
        </w:tc>
      </w:tr>
      <w:tr w14:paraId="0F806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5" w:type="dxa"/>
            <w:vAlign w:val="center"/>
          </w:tcPr>
          <w:p w14:paraId="654F301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情节一般</w:t>
            </w:r>
          </w:p>
        </w:tc>
        <w:tc>
          <w:tcPr>
            <w:tcW w:w="4610" w:type="dxa"/>
            <w:vAlign w:val="center"/>
          </w:tcPr>
          <w:p w14:paraId="54B615E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spacing w:val="9"/>
                <w:sz w:val="28"/>
                <w:szCs w:val="28"/>
              </w:rPr>
              <w:t>对发生的危害健康事故未立即采取处置措施导致危害扩</w:t>
            </w:r>
            <w:r>
              <w:rPr>
                <w:rFonts w:hint="eastAsia" w:ascii="方正仿宋_GBK" w:hAnsi="方正仿宋_GBK" w:eastAsia="方正仿宋_GBK" w:cs="方正仿宋_GBK"/>
                <w:spacing w:val="4"/>
                <w:sz w:val="28"/>
                <w:szCs w:val="28"/>
              </w:rPr>
              <w:t>大的</w:t>
            </w:r>
          </w:p>
        </w:tc>
        <w:tc>
          <w:tcPr>
            <w:tcW w:w="2840" w:type="dxa"/>
            <w:vAlign w:val="center"/>
          </w:tcPr>
          <w:p w14:paraId="6DD1C1D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1</w:t>
            </w:r>
            <w:r>
              <w:rPr>
                <w:rFonts w:hint="eastAsia" w:ascii="方正仿宋_GBK" w:hAnsi="方正仿宋_GBK" w:eastAsia="方正仿宋_GBK" w:cs="方正仿宋_GBK"/>
                <w:color w:val="auto"/>
                <w:sz w:val="28"/>
                <w:szCs w:val="28"/>
                <w:lang w:val="en-US" w:eastAsia="zh-CN"/>
                <w14:ligatures w14:val="standardContextual"/>
              </w:rPr>
              <w:t>25</w:t>
            </w:r>
            <w:r>
              <w:rPr>
                <w:rFonts w:hint="eastAsia" w:ascii="方正仿宋_GBK" w:hAnsi="方正仿宋_GBK" w:eastAsia="方正仿宋_GBK" w:cs="方正仿宋_GBK"/>
                <w:color w:val="auto"/>
                <w:sz w:val="28"/>
                <w:szCs w:val="28"/>
                <w14:ligatures w14:val="standardContextual"/>
              </w:rPr>
              <w:t>00元≤罚款</w:t>
            </w:r>
            <w:r>
              <w:rPr>
                <w:rFonts w:hint="eastAsia" w:ascii="方正仿宋_GBK" w:hAnsi="方正仿宋_GBK" w:eastAsia="方正仿宋_GBK" w:cs="方正仿宋_GBK"/>
                <w:color w:val="auto"/>
                <w:sz w:val="28"/>
                <w:szCs w:val="28"/>
              </w:rPr>
              <w:t>&lt;</w:t>
            </w:r>
            <w:r>
              <w:rPr>
                <w:rFonts w:hint="eastAsia" w:ascii="方正仿宋_GBK" w:hAnsi="方正仿宋_GBK" w:eastAsia="方正仿宋_GBK" w:cs="方正仿宋_GBK"/>
                <w:color w:val="auto"/>
                <w:sz w:val="28"/>
                <w:szCs w:val="28"/>
                <w:lang w:val="en-US" w:eastAsia="zh-CN"/>
                <w14:ligatures w14:val="standardContextual"/>
              </w:rPr>
              <w:t>22500</w:t>
            </w:r>
            <w:r>
              <w:rPr>
                <w:rFonts w:hint="eastAsia" w:ascii="方正仿宋_GBK" w:hAnsi="方正仿宋_GBK" w:eastAsia="方正仿宋_GBK" w:cs="方正仿宋_GBK"/>
                <w:color w:val="auto"/>
                <w:sz w:val="28"/>
                <w:szCs w:val="28"/>
                <w14:ligatures w14:val="standardContextual"/>
              </w:rPr>
              <w:t>元</w:t>
            </w:r>
          </w:p>
        </w:tc>
      </w:tr>
      <w:tr w14:paraId="0B2D4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1495" w:type="dxa"/>
            <w:vAlign w:val="center"/>
          </w:tcPr>
          <w:p w14:paraId="0807DD1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情节较重</w:t>
            </w:r>
          </w:p>
        </w:tc>
        <w:tc>
          <w:tcPr>
            <w:tcW w:w="4610" w:type="dxa"/>
            <w:vAlign w:val="center"/>
          </w:tcPr>
          <w:p w14:paraId="5016AC8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val="en-US" w:eastAsia="zh-CN"/>
                <w14:ligatures w14:val="standardContextual"/>
              </w:rPr>
            </w:pPr>
            <w:r>
              <w:rPr>
                <w:rFonts w:hint="eastAsia" w:ascii="方正仿宋_GBK" w:hAnsi="方正仿宋_GBK" w:eastAsia="方正仿宋_GBK" w:cs="方正仿宋_GBK"/>
                <w:color w:val="auto"/>
                <w:sz w:val="28"/>
                <w:szCs w:val="28"/>
                <w14:ligatures w14:val="standardContextual"/>
              </w:rPr>
              <w:t>对发生的危害健康事故</w:t>
            </w:r>
            <w:r>
              <w:rPr>
                <w:rFonts w:hint="eastAsia" w:ascii="方正仿宋_GBK" w:hAnsi="方正仿宋_GBK" w:eastAsia="方正仿宋_GBK" w:cs="方正仿宋_GBK"/>
                <w:color w:val="auto"/>
                <w:sz w:val="28"/>
                <w:szCs w:val="28"/>
                <w:lang w:eastAsia="zh-CN"/>
                <w14:ligatures w14:val="standardContextual"/>
              </w:rPr>
              <w:t>，</w:t>
            </w:r>
            <w:r>
              <w:rPr>
                <w:rFonts w:hint="eastAsia" w:ascii="方正仿宋_GBK" w:hAnsi="方正仿宋_GBK" w:eastAsia="方正仿宋_GBK" w:cs="方正仿宋_GBK"/>
                <w:spacing w:val="5"/>
                <w:sz w:val="28"/>
                <w:szCs w:val="28"/>
              </w:rPr>
              <w:t>隐瞒</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5"/>
                <w:sz w:val="28"/>
                <w:szCs w:val="28"/>
              </w:rPr>
              <w:t>、谎报事故信息</w:t>
            </w:r>
            <w:r>
              <w:rPr>
                <w:rFonts w:hint="eastAsia" w:ascii="方正仿宋_GBK" w:hAnsi="方正仿宋_GBK" w:eastAsia="方正仿宋_GBK" w:cs="方正仿宋_GBK"/>
                <w:spacing w:val="5"/>
                <w:sz w:val="28"/>
                <w:szCs w:val="28"/>
                <w:lang w:eastAsia="zh-CN"/>
              </w:rPr>
              <w:t>的</w:t>
            </w:r>
          </w:p>
        </w:tc>
        <w:tc>
          <w:tcPr>
            <w:tcW w:w="2840" w:type="dxa"/>
            <w:vAlign w:val="center"/>
          </w:tcPr>
          <w:p w14:paraId="33DEAA8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color w:val="auto"/>
                <w:sz w:val="28"/>
                <w:szCs w:val="28"/>
                <w:lang w:val="en-US" w:eastAsia="zh-CN"/>
                <w14:ligatures w14:val="standardContextual"/>
              </w:rPr>
              <w:t>225</w:t>
            </w:r>
            <w:r>
              <w:rPr>
                <w:rFonts w:hint="eastAsia" w:ascii="方正仿宋_GBK" w:hAnsi="方正仿宋_GBK" w:eastAsia="方正仿宋_GBK" w:cs="方正仿宋_GBK"/>
                <w:color w:val="auto"/>
                <w:sz w:val="28"/>
                <w:szCs w:val="28"/>
                <w14:ligatures w14:val="standardContextual"/>
              </w:rPr>
              <w:t>00元≤罚款≤</w:t>
            </w:r>
            <w:r>
              <w:rPr>
                <w:rFonts w:hint="eastAsia" w:ascii="方正仿宋_GBK" w:hAnsi="方正仿宋_GBK" w:eastAsia="方正仿宋_GBK" w:cs="方正仿宋_GBK"/>
                <w:color w:val="auto"/>
                <w:sz w:val="28"/>
                <w:szCs w:val="28"/>
                <w:lang w:val="en-US" w:eastAsia="zh-CN"/>
                <w14:ligatures w14:val="standardContextual"/>
              </w:rPr>
              <w:t>30000</w:t>
            </w:r>
            <w:r>
              <w:rPr>
                <w:rFonts w:hint="eastAsia" w:ascii="方正仿宋_GBK" w:hAnsi="方正仿宋_GBK" w:eastAsia="方正仿宋_GBK" w:cs="方正仿宋_GBK"/>
                <w:color w:val="auto"/>
                <w:sz w:val="28"/>
                <w:szCs w:val="28"/>
                <w14:ligatures w14:val="standardContextual"/>
              </w:rPr>
              <w:t>元</w:t>
            </w:r>
          </w:p>
        </w:tc>
      </w:tr>
      <w:tr w14:paraId="788DB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1495" w:type="dxa"/>
            <w:vAlign w:val="center"/>
          </w:tcPr>
          <w:p w14:paraId="1BF5CD3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sz w:val="28"/>
                <w:szCs w:val="28"/>
                <w14:ligatures w14:val="standardContextual"/>
              </w:rPr>
              <w:t>情节</w:t>
            </w:r>
            <w:r>
              <w:rPr>
                <w:rFonts w:hint="eastAsia" w:ascii="方正仿宋_GBK" w:hAnsi="方正仿宋_GBK" w:eastAsia="方正仿宋_GBK" w:cs="方正仿宋_GBK"/>
                <w:sz w:val="28"/>
                <w:szCs w:val="28"/>
                <w:lang w:eastAsia="zh-CN"/>
                <w14:ligatures w14:val="standardContextual"/>
              </w:rPr>
              <w:t>严重</w:t>
            </w:r>
          </w:p>
        </w:tc>
        <w:tc>
          <w:tcPr>
            <w:tcW w:w="4610" w:type="dxa"/>
            <w:vAlign w:val="center"/>
          </w:tcPr>
          <w:p w14:paraId="4F0237D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lang w:eastAsia="zh-CN"/>
                <w14:ligatures w14:val="standardContextual"/>
              </w:rPr>
            </w:pPr>
            <w:r>
              <w:rPr>
                <w:rFonts w:hint="eastAsia" w:ascii="方正仿宋_GBK" w:hAnsi="方正仿宋_GBK" w:eastAsia="方正仿宋_GBK" w:cs="方正仿宋_GBK"/>
                <w:spacing w:val="9"/>
                <w:sz w:val="28"/>
                <w:szCs w:val="28"/>
              </w:rPr>
              <w:t>公共场所经营者对发生的危害健康事故未立即采取处置</w:t>
            </w:r>
            <w:r>
              <w:rPr>
                <w:rFonts w:hint="eastAsia" w:ascii="方正仿宋_GBK" w:hAnsi="方正仿宋_GBK" w:eastAsia="方正仿宋_GBK" w:cs="方正仿宋_GBK"/>
                <w:spacing w:val="4"/>
                <w:sz w:val="28"/>
                <w:szCs w:val="28"/>
              </w:rPr>
              <w:t>措施</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4"/>
                <w:sz w:val="28"/>
                <w:szCs w:val="28"/>
              </w:rPr>
              <w:t>，导致危害扩大</w:t>
            </w:r>
            <w:r>
              <w:rPr>
                <w:rFonts w:hint="eastAsia" w:ascii="方正仿宋_GBK" w:hAnsi="方正仿宋_GBK" w:eastAsia="方正仿宋_GBK" w:cs="方正仿宋_GBK"/>
                <w:spacing w:val="-23"/>
                <w:sz w:val="28"/>
                <w:szCs w:val="28"/>
              </w:rPr>
              <w:t xml:space="preserve"> </w:t>
            </w:r>
            <w:r>
              <w:rPr>
                <w:rFonts w:hint="eastAsia" w:ascii="方正仿宋_GBK" w:hAnsi="方正仿宋_GBK" w:eastAsia="方正仿宋_GBK" w:cs="方正仿宋_GBK"/>
                <w:spacing w:val="4"/>
                <w:sz w:val="28"/>
                <w:szCs w:val="28"/>
              </w:rPr>
              <w:t>，或者隐瞒</w:t>
            </w:r>
            <w:r>
              <w:rPr>
                <w:rFonts w:hint="eastAsia" w:ascii="方正仿宋_GBK" w:hAnsi="方正仿宋_GBK" w:eastAsia="方正仿宋_GBK" w:cs="方正仿宋_GBK"/>
                <w:spacing w:val="-34"/>
                <w:sz w:val="28"/>
                <w:szCs w:val="28"/>
              </w:rPr>
              <w:t xml:space="preserve"> </w:t>
            </w:r>
            <w:r>
              <w:rPr>
                <w:rFonts w:hint="eastAsia" w:ascii="方正仿宋_GBK" w:hAnsi="方正仿宋_GBK" w:eastAsia="方正仿宋_GBK" w:cs="方正仿宋_GBK"/>
                <w:spacing w:val="4"/>
                <w:sz w:val="28"/>
                <w:szCs w:val="28"/>
              </w:rPr>
              <w:t>、缓报、谎报</w:t>
            </w:r>
            <w:r>
              <w:rPr>
                <w:rFonts w:hint="eastAsia" w:ascii="方正仿宋_GBK" w:hAnsi="方正仿宋_GBK" w:eastAsia="方正仿宋_GBK" w:cs="方正仿宋_GBK"/>
                <w:spacing w:val="-20"/>
                <w:sz w:val="28"/>
                <w:szCs w:val="28"/>
              </w:rPr>
              <w:t xml:space="preserve"> </w:t>
            </w:r>
            <w:r>
              <w:rPr>
                <w:rFonts w:hint="eastAsia" w:ascii="方正仿宋_GBK" w:hAnsi="方正仿宋_GBK" w:eastAsia="方正仿宋_GBK" w:cs="方正仿宋_GBK"/>
                <w:spacing w:val="4"/>
                <w:sz w:val="28"/>
                <w:szCs w:val="28"/>
              </w:rPr>
              <w:t>，</w:t>
            </w:r>
            <w:r>
              <w:rPr>
                <w:rFonts w:hint="eastAsia" w:ascii="方正仿宋_GBK" w:hAnsi="方正仿宋_GBK" w:eastAsia="方正仿宋_GBK" w:cs="方正仿宋_GBK"/>
                <w:spacing w:val="3"/>
                <w:sz w:val="28"/>
                <w:szCs w:val="28"/>
              </w:rPr>
              <w:t>导致</w:t>
            </w:r>
            <w:r>
              <w:rPr>
                <w:rFonts w:hint="eastAsia" w:ascii="方正仿宋_GBK" w:hAnsi="方正仿宋_GBK" w:eastAsia="方正仿宋_GBK" w:cs="方正仿宋_GBK"/>
                <w:spacing w:val="3"/>
                <w:sz w:val="28"/>
                <w:szCs w:val="28"/>
                <w:lang w:eastAsia="zh-CN"/>
              </w:rPr>
              <w:t>传染病传播或人员死亡的</w:t>
            </w:r>
          </w:p>
        </w:tc>
        <w:tc>
          <w:tcPr>
            <w:tcW w:w="2840" w:type="dxa"/>
            <w:vAlign w:val="center"/>
          </w:tcPr>
          <w:p w14:paraId="4186CEF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color w:val="auto"/>
                <w:sz w:val="28"/>
                <w:szCs w:val="28"/>
                <w14:ligatures w14:val="standardContextual"/>
              </w:rPr>
            </w:pPr>
            <w:r>
              <w:rPr>
                <w:rFonts w:hint="eastAsia" w:ascii="方正仿宋_GBK" w:hAnsi="方正仿宋_GBK" w:eastAsia="方正仿宋_GBK" w:cs="方正仿宋_GBK"/>
                <w:color w:val="auto"/>
                <w:sz w:val="28"/>
                <w:szCs w:val="28"/>
                <w14:ligatures w14:val="standardContextual"/>
              </w:rPr>
              <w:t>责令停业整顿，直至吊销卫生许可证</w:t>
            </w:r>
          </w:p>
        </w:tc>
      </w:tr>
    </w:tbl>
    <w:p w14:paraId="0E53401E">
      <w:pPr>
        <w:pStyle w:val="2"/>
        <w:jc w:val="both"/>
        <w:rPr>
          <w:rFonts w:ascii="Times New Roman" w:hAnsi="Times New Roman"/>
          <w:lang w:val="en-US"/>
        </w:rPr>
      </w:pPr>
    </w:p>
    <w:p w14:paraId="04AAC575">
      <w:pPr>
        <w:keepNext w:val="0"/>
        <w:keepLines w:val="0"/>
        <w:pageBreakBefore w:val="0"/>
        <w:widowControl w:val="0"/>
        <w:kinsoku/>
        <w:wordWrap/>
        <w:overflowPunct/>
        <w:topLinePunct w:val="0"/>
        <w:bidi w:val="0"/>
        <w:spacing w:line="560" w:lineRule="exact"/>
        <w:jc w:val="center"/>
        <w:textAlignment w:val="auto"/>
        <w:rPr>
          <w:rFonts w:hint="eastAsia" w:ascii="方正黑体_GBK" w:hAnsi="方正黑体_GBK" w:eastAsia="方正黑体_GBK" w:cs="方正黑体_GBK"/>
          <w:b w:val="0"/>
          <w:bCs/>
          <w:sz w:val="32"/>
          <w:szCs w:val="32"/>
        </w:rPr>
      </w:pPr>
      <w:r>
        <w:rPr>
          <w:rFonts w:hint="eastAsia" w:ascii="方正黑体_GBK" w:hAnsi="方正黑体_GBK" w:eastAsia="方正黑体_GBK" w:cs="方正黑体_GBK"/>
          <w:b w:val="0"/>
          <w:bCs/>
          <w:sz w:val="32"/>
          <w:szCs w:val="32"/>
          <w:lang w:val="en-US" w:eastAsia="zh-CN"/>
        </w:rPr>
        <w:t>二、</w:t>
      </w:r>
      <w:r>
        <w:rPr>
          <w:rFonts w:hint="eastAsia" w:ascii="方正黑体_GBK" w:hAnsi="方正黑体_GBK" w:eastAsia="方正黑体_GBK" w:cs="方正黑体_GBK"/>
          <w:sz w:val="32"/>
          <w:szCs w:val="32"/>
        </w:rPr>
        <w:t>《中华人民共和国食品安全法》</w:t>
      </w:r>
    </w:p>
    <w:p w14:paraId="3554BE8A">
      <w:pPr>
        <w:keepNext w:val="0"/>
        <w:keepLines w:val="0"/>
        <w:pageBreakBefore w:val="0"/>
        <w:widowControl w:val="0"/>
        <w:kinsoku/>
        <w:wordWrap/>
        <w:overflowPunct/>
        <w:topLinePunct w:val="0"/>
        <w:autoSpaceDE w:val="0"/>
        <w:autoSpaceDN w:val="0"/>
        <w:bidi w:val="0"/>
        <w:adjustRightInd w:val="0"/>
        <w:snapToGrid w:val="0"/>
        <w:spacing w:line="560" w:lineRule="exact"/>
        <w:jc w:val="left"/>
        <w:textAlignment w:val="auto"/>
        <w:rPr>
          <w:rFonts w:ascii="仿宋" w:hAnsi="仿宋" w:eastAsia="仿宋"/>
          <w:sz w:val="28"/>
          <w:szCs w:val="28"/>
        </w:rPr>
      </w:pPr>
    </w:p>
    <w:p w14:paraId="3E294E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一：餐具、饮具集中消毒服务单位违反《中华人民共和国食品安全法》规定用水，使用洗涤剂、消毒剂，或者出厂的餐具、饮具未按规定检验合格并随附消毒合格证明，或者未按规定在独立包装上标注相关内容的</w:t>
      </w:r>
    </w:p>
    <w:p w14:paraId="63ADC79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73D0A1FC">
      <w:pPr>
        <w:keepNext w:val="0"/>
        <w:keepLines w:val="0"/>
        <w:pageBreakBefore w:val="0"/>
        <w:widowControl w:val="0"/>
        <w:kinsoku/>
        <w:wordWrap/>
        <w:overflowPunct/>
        <w:topLinePunct w:val="0"/>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华人民共和国食品安全法》第一百二十六条第一款规定：“违反本法规定，有下列情形之一的，由县级以上人民政府食品安全监督管理部门责令改正，给予警告；拒不改正的，处五千元以上五万元以下罚款；情节严重的，责令停产停业，直至吊销许可证：……。”</w:t>
      </w:r>
    </w:p>
    <w:p w14:paraId="61BB4FD3">
      <w:pPr>
        <w:keepNext w:val="0"/>
        <w:keepLines w:val="0"/>
        <w:pageBreakBefore w:val="0"/>
        <w:widowControl w:val="0"/>
        <w:kinsoku/>
        <w:wordWrap/>
        <w:overflowPunct/>
        <w:topLinePunct w:val="0"/>
        <w:bidi w:val="0"/>
        <w:spacing w:line="56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华人民共和国食品安全法》第一百二十六条第二款规定：“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w:t>
      </w:r>
    </w:p>
    <w:p w14:paraId="1D95CF8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6"/>
        <w:tblW w:w="8894" w:type="dxa"/>
        <w:jc w:val="center"/>
        <w:tblLayout w:type="fixed"/>
        <w:tblCellMar>
          <w:top w:w="0" w:type="dxa"/>
          <w:left w:w="108" w:type="dxa"/>
          <w:bottom w:w="0" w:type="dxa"/>
          <w:right w:w="108" w:type="dxa"/>
        </w:tblCellMar>
      </w:tblPr>
      <w:tblGrid>
        <w:gridCol w:w="1372"/>
        <w:gridCol w:w="4700"/>
        <w:gridCol w:w="2822"/>
      </w:tblGrid>
      <w:tr w14:paraId="3FDABA06">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970D6C">
            <w:pPr>
              <w:widowControl/>
              <w:jc w:val="center"/>
              <w:rPr>
                <w:rFonts w:hint="eastAsia" w:ascii="方正楷体_GBK" w:hAnsi="方正楷体_GBK" w:eastAsia="方正楷体_GBK" w:cs="方正楷体_GBK"/>
                <w:b w:val="0"/>
                <w:bCs w:val="0"/>
                <w:kern w:val="0"/>
                <w:sz w:val="28"/>
                <w:szCs w:val="28"/>
              </w:rPr>
            </w:pPr>
            <w:r>
              <w:rPr>
                <w:rFonts w:hint="eastAsia" w:ascii="方正楷体_GBK" w:hAnsi="方正楷体_GBK" w:eastAsia="方正楷体_GBK" w:cs="方正楷体_GBK"/>
                <w:b w:val="0"/>
                <w:bCs w:val="0"/>
                <w:kern w:val="0"/>
                <w:sz w:val="28"/>
                <w:szCs w:val="28"/>
              </w:rPr>
              <w:t>裁量阶次</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19A39C49">
            <w:pPr>
              <w:widowControl/>
              <w:jc w:val="center"/>
              <w:rPr>
                <w:rFonts w:hint="eastAsia" w:ascii="方正楷体_GBK" w:hAnsi="方正楷体_GBK" w:eastAsia="方正楷体_GBK" w:cs="方正楷体_GBK"/>
                <w:b w:val="0"/>
                <w:bCs w:val="0"/>
                <w:kern w:val="0"/>
                <w:sz w:val="28"/>
                <w:szCs w:val="28"/>
              </w:rPr>
            </w:pPr>
            <w:r>
              <w:rPr>
                <w:rFonts w:hint="eastAsia" w:ascii="方正楷体_GBK" w:hAnsi="方正楷体_GBK" w:eastAsia="方正楷体_GBK" w:cs="方正楷体_GBK"/>
                <w:b w:val="0"/>
                <w:bCs w:val="0"/>
                <w:kern w:val="0"/>
                <w:sz w:val="28"/>
                <w:szCs w:val="28"/>
              </w:rPr>
              <w:t>适用条件</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4F4D73B9">
            <w:pPr>
              <w:widowControl/>
              <w:jc w:val="center"/>
              <w:rPr>
                <w:rFonts w:hint="eastAsia" w:ascii="方正楷体_GBK" w:hAnsi="方正楷体_GBK" w:eastAsia="方正楷体_GBK" w:cs="方正楷体_GBK"/>
                <w:b w:val="0"/>
                <w:bCs w:val="0"/>
                <w:kern w:val="0"/>
                <w:sz w:val="28"/>
                <w:szCs w:val="28"/>
              </w:rPr>
            </w:pPr>
            <w:r>
              <w:rPr>
                <w:rFonts w:hint="eastAsia" w:ascii="方正楷体_GBK" w:hAnsi="方正楷体_GBK" w:eastAsia="方正楷体_GBK" w:cs="方正楷体_GBK"/>
                <w:b w:val="0"/>
                <w:bCs w:val="0"/>
                <w:kern w:val="0"/>
                <w:sz w:val="28"/>
                <w:szCs w:val="28"/>
              </w:rPr>
              <w:t>具体标准</w:t>
            </w:r>
          </w:p>
        </w:tc>
      </w:tr>
      <w:tr w14:paraId="3A11E8AD">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806E7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情节轻微</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085A30DF">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及时改正</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0253A425">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p>
        </w:tc>
      </w:tr>
      <w:tr w14:paraId="168DF8F9">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9464B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情节较轻</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6AA9DC7F">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拒不改正，且不符合情节一般、较重、严重情形的</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0916CE77">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r>
              <w:rPr>
                <w:rFonts w:hint="eastAsia" w:ascii="方正仿宋_GBK" w:hAnsi="方正仿宋_GBK" w:eastAsia="方正仿宋_GBK" w:cs="方正仿宋_GBK"/>
                <w:kern w:val="0"/>
                <w:sz w:val="28"/>
                <w:szCs w:val="28"/>
                <w:lang w:val="en-US" w:eastAsia="zh-CN"/>
              </w:rPr>
              <w:t>5000</w:t>
            </w:r>
            <w:r>
              <w:rPr>
                <w:rFonts w:hint="eastAsia" w:ascii="方正仿宋_GBK" w:hAnsi="方正仿宋_GBK" w:eastAsia="方正仿宋_GBK" w:cs="方正仿宋_GBK"/>
                <w:kern w:val="0"/>
                <w:sz w:val="28"/>
                <w:szCs w:val="28"/>
              </w:rPr>
              <w:t>元≤罚款＜</w:t>
            </w:r>
            <w:r>
              <w:rPr>
                <w:rFonts w:hint="eastAsia" w:ascii="方正仿宋_GBK" w:hAnsi="方正仿宋_GBK" w:eastAsia="方正仿宋_GBK" w:cs="方正仿宋_GBK"/>
                <w:kern w:val="0"/>
                <w:sz w:val="28"/>
                <w:szCs w:val="28"/>
                <w:lang w:val="en-US" w:eastAsia="zh-CN"/>
              </w:rPr>
              <w:t>18500</w:t>
            </w:r>
            <w:r>
              <w:rPr>
                <w:rFonts w:hint="eastAsia" w:ascii="方正仿宋_GBK" w:hAnsi="方正仿宋_GBK" w:eastAsia="方正仿宋_GBK" w:cs="方正仿宋_GBK"/>
                <w:kern w:val="0"/>
                <w:sz w:val="28"/>
                <w:szCs w:val="28"/>
              </w:rPr>
              <w:t>元</w:t>
            </w:r>
          </w:p>
        </w:tc>
      </w:tr>
      <w:tr w14:paraId="10E13011">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84949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情节一般</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5B0124C2">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拒不改正，有以下情形：1.发现违反2个及以上案由的；2.发现伪造批检验记录经查实的；3.同时发现场所卫生状况不符合要求或人员卫生管理不到位的</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590136E3">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r>
              <w:rPr>
                <w:rFonts w:hint="eastAsia" w:ascii="方正仿宋_GBK" w:hAnsi="方正仿宋_GBK" w:eastAsia="方正仿宋_GBK" w:cs="方正仿宋_GBK"/>
                <w:kern w:val="0"/>
                <w:sz w:val="28"/>
                <w:szCs w:val="28"/>
                <w:lang w:val="en-US" w:eastAsia="zh-CN"/>
              </w:rPr>
              <w:t>18500</w:t>
            </w:r>
            <w:r>
              <w:rPr>
                <w:rFonts w:hint="eastAsia" w:ascii="方正仿宋_GBK" w:hAnsi="方正仿宋_GBK" w:eastAsia="方正仿宋_GBK" w:cs="方正仿宋_GBK"/>
                <w:kern w:val="0"/>
                <w:sz w:val="28"/>
                <w:szCs w:val="28"/>
              </w:rPr>
              <w:t>元≤罚款＜</w:t>
            </w:r>
            <w:r>
              <w:rPr>
                <w:rFonts w:hint="eastAsia" w:ascii="方正仿宋_GBK" w:hAnsi="方正仿宋_GBK" w:eastAsia="方正仿宋_GBK" w:cs="方正仿宋_GBK"/>
                <w:kern w:val="0"/>
                <w:sz w:val="28"/>
                <w:szCs w:val="28"/>
                <w:lang w:val="en-US" w:eastAsia="zh-CN"/>
              </w:rPr>
              <w:t>36500</w:t>
            </w:r>
            <w:r>
              <w:rPr>
                <w:rFonts w:hint="eastAsia" w:ascii="方正仿宋_GBK" w:hAnsi="方正仿宋_GBK" w:eastAsia="方正仿宋_GBK" w:cs="方正仿宋_GBK"/>
                <w:kern w:val="0"/>
                <w:sz w:val="28"/>
                <w:szCs w:val="28"/>
              </w:rPr>
              <w:t>元</w:t>
            </w:r>
          </w:p>
        </w:tc>
      </w:tr>
      <w:tr w14:paraId="77F64D69">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A7072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情节较重</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0569C3FC">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拒不改正，有以下情形：1.同时发现其设施设备不齐全的，不具备生产条件，并且场所卫生状况不符合要求或人员卫生管理不到位的；2.持续两年不同年份内，第二次违反同一案由已被处过罚款的</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31FDBD7E">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r>
              <w:rPr>
                <w:rFonts w:hint="eastAsia" w:ascii="方正仿宋_GBK" w:hAnsi="方正仿宋_GBK" w:eastAsia="方正仿宋_GBK" w:cs="方正仿宋_GBK"/>
                <w:kern w:val="0"/>
                <w:sz w:val="28"/>
                <w:szCs w:val="28"/>
                <w:lang w:val="en-US" w:eastAsia="zh-CN"/>
              </w:rPr>
              <w:t>36500</w:t>
            </w:r>
            <w:r>
              <w:rPr>
                <w:rFonts w:hint="eastAsia" w:ascii="方正仿宋_GBK" w:hAnsi="方正仿宋_GBK" w:eastAsia="方正仿宋_GBK" w:cs="方正仿宋_GBK"/>
                <w:kern w:val="0"/>
                <w:sz w:val="28"/>
                <w:szCs w:val="28"/>
              </w:rPr>
              <w:t>元≤罚款≤5</w:t>
            </w:r>
            <w:r>
              <w:rPr>
                <w:rFonts w:hint="eastAsia" w:ascii="方正仿宋_GBK" w:hAnsi="方正仿宋_GBK" w:eastAsia="方正仿宋_GBK" w:cs="方正仿宋_GBK"/>
                <w:kern w:val="0"/>
                <w:sz w:val="28"/>
                <w:szCs w:val="28"/>
                <w:lang w:val="en-US" w:eastAsia="zh-CN"/>
              </w:rPr>
              <w:t>0000</w:t>
            </w:r>
            <w:r>
              <w:rPr>
                <w:rFonts w:hint="eastAsia" w:ascii="方正仿宋_GBK" w:hAnsi="方正仿宋_GBK" w:eastAsia="方正仿宋_GBK" w:cs="方正仿宋_GBK"/>
                <w:kern w:val="0"/>
                <w:sz w:val="28"/>
                <w:szCs w:val="28"/>
              </w:rPr>
              <w:t>元</w:t>
            </w:r>
          </w:p>
        </w:tc>
      </w:tr>
      <w:tr w14:paraId="3C68CFCD">
        <w:tblPrEx>
          <w:tblCellMar>
            <w:top w:w="0" w:type="dxa"/>
            <w:left w:w="108" w:type="dxa"/>
            <w:bottom w:w="0" w:type="dxa"/>
            <w:right w:w="108" w:type="dxa"/>
          </w:tblCellMar>
        </w:tblPrEx>
        <w:trPr>
          <w:trHeight w:val="525" w:hRule="atLeast"/>
          <w:jc w:val="center"/>
        </w:trPr>
        <w:tc>
          <w:tcPr>
            <w:tcW w:w="13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F4D1BA">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情节严重</w:t>
            </w:r>
          </w:p>
        </w:tc>
        <w:tc>
          <w:tcPr>
            <w:tcW w:w="4700" w:type="dxa"/>
            <w:tcBorders>
              <w:top w:val="single" w:color="auto" w:sz="4" w:space="0"/>
              <w:left w:val="nil"/>
              <w:bottom w:val="single" w:color="auto" w:sz="4" w:space="0"/>
              <w:right w:val="single" w:color="auto" w:sz="4" w:space="0"/>
            </w:tcBorders>
            <w:shd w:val="clear" w:color="auto" w:fill="auto"/>
            <w:noWrap/>
            <w:vAlign w:val="center"/>
          </w:tcPr>
          <w:p w14:paraId="47C567FF">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拒不改正，有以下情形：1.违法行为涉及的产品货值金额2万元以上或者违法行为持续时间3个月以上；2.造成食源性疾病并出现死亡病例，或者造成30人以上食源性疾病但未出现死亡病例；3.故意提供虚假信息或者隐瞒真实情况；4.拒绝、逃避监督检查；5.因违反食品安全法律、法规受到行政处罚后1年内又实施同一性质的食品安全违法行为，或者因违反食品安全法律、法规受到刑事处罚后又实施食品安全违法行为；6.其他情节严重的情形</w:t>
            </w:r>
          </w:p>
        </w:tc>
        <w:tc>
          <w:tcPr>
            <w:tcW w:w="2822" w:type="dxa"/>
            <w:tcBorders>
              <w:top w:val="single" w:color="auto" w:sz="4" w:space="0"/>
              <w:left w:val="nil"/>
              <w:bottom w:val="single" w:color="auto" w:sz="4" w:space="0"/>
              <w:right w:val="single" w:color="auto" w:sz="4" w:space="0"/>
            </w:tcBorders>
            <w:shd w:val="clear" w:color="auto" w:fill="auto"/>
            <w:noWrap/>
            <w:vAlign w:val="center"/>
          </w:tcPr>
          <w:p w14:paraId="0C4F1473">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警告，罚款5万元，1月≤责令停产停业≤12月</w:t>
            </w:r>
          </w:p>
        </w:tc>
      </w:tr>
    </w:tbl>
    <w:p w14:paraId="07EE7FBC">
      <w:pPr>
        <w:autoSpaceDE w:val="0"/>
        <w:autoSpaceDN w:val="0"/>
        <w:adjustRightInd w:val="0"/>
        <w:snapToGrid w:val="0"/>
        <w:jc w:val="center"/>
        <w:rPr>
          <w:rFonts w:hint="eastAsia" w:ascii="方正小标宋_GBK" w:hAnsi="方正小标宋_GBK" w:eastAsia="方正小标宋_GBK" w:cs="方正小标宋_GBK"/>
          <w:b w:val="0"/>
          <w:bCs w:val="0"/>
          <w:sz w:val="44"/>
          <w:szCs w:val="44"/>
          <w:lang w:val="en-US" w:eastAsia="zh-CN"/>
        </w:rPr>
      </w:pPr>
    </w:p>
    <w:p w14:paraId="6637D5E6">
      <w:pPr>
        <w:keepNext w:val="0"/>
        <w:keepLines w:val="0"/>
        <w:pageBreakBefore w:val="0"/>
        <w:tabs>
          <w:tab w:val="right" w:leader="dot" w:pos="13948"/>
        </w:tabs>
        <w:kinsoku/>
        <w:wordWrap/>
        <w:overflowPunct/>
        <w:topLinePunct w:val="0"/>
        <w:bidi w:val="0"/>
        <w:spacing w:before="0" w:after="0" w:line="560" w:lineRule="exact"/>
        <w:ind w:firstLine="639" w:firstLineChars="200"/>
        <w:jc w:val="left"/>
        <w:textAlignment w:val="auto"/>
        <w:outlineLvl w:val="1"/>
        <w:rPr>
          <w:rFonts w:hint="eastAsia" w:ascii="方正楷体_GBK" w:hAnsi="方正楷体_GBK" w:eastAsia="方正楷体_GBK" w:cs="方正楷体_GBK"/>
          <w:color w:val="auto"/>
          <w:spacing w:val="-1"/>
          <w:kern w:val="0"/>
          <w:sz w:val="32"/>
          <w:szCs w:val="32"/>
        </w:rPr>
      </w:pPr>
      <w:bookmarkStart w:id="6" w:name="_Toc5785"/>
      <w:bookmarkStart w:id="7" w:name="_Toc24680"/>
      <w:r>
        <w:rPr>
          <w:rFonts w:hint="eastAsia" w:ascii="方正楷体_GBK" w:hAnsi="方正楷体_GBK" w:eastAsia="方正楷体_GBK" w:cs="方正楷体_GBK"/>
          <w:b/>
          <w:bCs/>
          <w:color w:val="auto"/>
          <w:spacing w:val="-1"/>
          <w:kern w:val="0"/>
          <w:sz w:val="32"/>
          <w:szCs w:val="32"/>
          <w:lang w:eastAsia="zh-CN"/>
        </w:rPr>
        <w:t>案由二</w:t>
      </w:r>
      <w:r>
        <w:rPr>
          <w:rFonts w:hint="eastAsia" w:ascii="方正楷体_GBK" w:hAnsi="方正楷体_GBK" w:eastAsia="方正楷体_GBK" w:cs="方正楷体_GBK"/>
          <w:b/>
          <w:bCs/>
          <w:color w:val="auto"/>
          <w:spacing w:val="-1"/>
          <w:kern w:val="0"/>
          <w:sz w:val="32"/>
          <w:szCs w:val="32"/>
          <w:lang w:val="en-US" w:eastAsia="zh-CN"/>
        </w:rPr>
        <w:t xml:space="preserve"> ：餐具饮具集中消毒服务单位</w:t>
      </w:r>
      <w:r>
        <w:rPr>
          <w:rFonts w:hint="eastAsia" w:ascii="方正楷体_GBK" w:hAnsi="方正楷体_GBK" w:eastAsia="方正楷体_GBK" w:cs="方正楷体_GBK"/>
          <w:b/>
          <w:bCs/>
          <w:color w:val="auto"/>
          <w:spacing w:val="-1"/>
          <w:kern w:val="0"/>
          <w:sz w:val="32"/>
          <w:szCs w:val="32"/>
        </w:rPr>
        <w:t>未按照规定建立并遵守出厂检验记录制度的</w:t>
      </w:r>
      <w:bookmarkEnd w:id="6"/>
      <w:bookmarkEnd w:id="7"/>
    </w:p>
    <w:p w14:paraId="0F837F4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42688B56">
      <w:pPr>
        <w:keepNext w:val="0"/>
        <w:keepLines w:val="0"/>
        <w:pageBreakBefore w:val="0"/>
        <w:kinsoku/>
        <w:wordWrap/>
        <w:overflowPunct/>
        <w:topLinePunct w:val="0"/>
        <w:bidi w:val="0"/>
        <w:adjustRightInd/>
        <w:snapToGrid/>
        <w:spacing w:before="0" w:after="0" w:line="560" w:lineRule="exact"/>
        <w:ind w:firstLine="640" w:firstLineChars="200"/>
        <w:jc w:val="left"/>
        <w:textAlignment w:val="auto"/>
        <w:rPr>
          <w:rFonts w:hint="eastAsia" w:ascii="方正仿宋_GBK" w:hAnsi="方正仿宋_GBK" w:eastAsia="方正仿宋_GBK" w:cs="方正仿宋_GBK"/>
          <w:color w:val="auto"/>
          <w:kern w:val="0"/>
          <w:sz w:val="32"/>
          <w:szCs w:val="32"/>
        </w:rPr>
      </w:pPr>
      <w:r>
        <w:rPr>
          <w:rFonts w:hint="eastAsia" w:ascii="方正仿宋_GBK" w:hAnsi="方正仿宋_GBK" w:eastAsia="方正仿宋_GBK" w:cs="方正仿宋_GBK"/>
          <w:color w:val="auto"/>
          <w:kern w:val="0"/>
          <w:sz w:val="32"/>
          <w:szCs w:val="32"/>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14:paraId="47C34CA2">
      <w:pPr>
        <w:keepNext w:val="0"/>
        <w:keepLines w:val="0"/>
        <w:pageBreakBefore w:val="0"/>
        <w:kinsoku/>
        <w:wordWrap/>
        <w:overflowPunct/>
        <w:topLinePunct w:val="0"/>
        <w:bidi w:val="0"/>
        <w:adjustRightInd/>
        <w:snapToGrid/>
        <w:spacing w:before="0" w:after="0" w:line="56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华人民共和国食品安全法》第一百二十六条第一款规定：“违反本法规定，有下列情形之一的，由县级以上人民政府食品安全监督管理部门责令改正，给予警告；拒不改正的，处五千元以上五万元以下罚款；情节严重的，责令停产停业，直至吊销许可证：……。”</w:t>
      </w:r>
    </w:p>
    <w:p w14:paraId="4BA7DC52">
      <w:pPr>
        <w:keepNext w:val="0"/>
        <w:keepLines w:val="0"/>
        <w:pageBreakBefore w:val="0"/>
        <w:widowControl/>
        <w:shd w:val="clear" w:color="auto" w:fill="FFFFFF"/>
        <w:kinsoku/>
        <w:wordWrap/>
        <w:overflowPunct/>
        <w:topLinePunct w:val="0"/>
        <w:bidi w:val="0"/>
        <w:adjustRightInd/>
        <w:snapToGrid/>
        <w:spacing w:before="0" w:after="0" w:line="560" w:lineRule="exact"/>
        <w:ind w:firstLine="640" w:firstLineChars="200"/>
        <w:jc w:val="left"/>
        <w:textAlignment w:val="auto"/>
        <w:rPr>
          <w:rFonts w:hint="eastAsia" w:ascii="方正仿宋_GBK" w:hAnsi="方正仿宋_GBK" w:eastAsia="方正仿宋_GBK" w:cs="方正仿宋_GBK"/>
          <w:color w:val="auto"/>
          <w:kern w:val="0"/>
          <w:sz w:val="32"/>
          <w:szCs w:val="32"/>
        </w:rPr>
      </w:pPr>
      <w:r>
        <w:rPr>
          <w:rFonts w:hint="eastAsia" w:ascii="方正仿宋_GBK" w:hAnsi="方正仿宋_GBK" w:eastAsia="方正仿宋_GBK" w:cs="方正仿宋_GBK"/>
          <w:color w:val="auto"/>
          <w:kern w:val="0"/>
          <w:sz w:val="32"/>
          <w:szCs w:val="32"/>
        </w:rPr>
        <w:t>《中华人民共和国食品安全法实施条例》第七十五条第一款 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一）故意实施违法行为；（二）违法行为性质恶劣；（三）违法行为造成严重后果。</w:t>
      </w:r>
    </w:p>
    <w:p w14:paraId="6ACC222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6"/>
        <w:tblW w:w="8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3576"/>
        <w:gridCol w:w="3388"/>
      </w:tblGrid>
      <w:tr w14:paraId="5940D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676" w:type="dxa"/>
            <w:vAlign w:val="center"/>
          </w:tcPr>
          <w:p w14:paraId="7A73CC61">
            <w:pPr>
              <w:keepNext w:val="0"/>
              <w:keepLines w:val="0"/>
              <w:pageBreakBefore w:val="0"/>
              <w:widowControl w:val="0"/>
              <w:kinsoku/>
              <w:wordWrap/>
              <w:overflowPunct/>
              <w:topLinePunct w:val="0"/>
              <w:autoSpaceDE w:val="0"/>
              <w:autoSpaceDN w:val="0"/>
              <w:bidi w:val="0"/>
              <w:adjustRightInd/>
              <w:snapToGrid/>
              <w:spacing w:before="0" w:after="0" w:line="400" w:lineRule="exact"/>
              <w:jc w:val="center"/>
              <w:textAlignment w:val="auto"/>
              <w:rPr>
                <w:rFonts w:hint="eastAsia" w:ascii="方正楷体_GBK" w:hAnsi="方正楷体_GBK" w:eastAsia="方正楷体_GBK" w:cs="方正楷体_GBK"/>
                <w:color w:val="auto"/>
                <w:kern w:val="0"/>
                <w:sz w:val="28"/>
                <w:szCs w:val="28"/>
                <w:lang w:eastAsia="zh-CN"/>
              </w:rPr>
            </w:pPr>
            <w:r>
              <w:rPr>
                <w:rFonts w:hint="eastAsia" w:ascii="方正楷体_GBK" w:hAnsi="方正楷体_GBK" w:eastAsia="方正楷体_GBK" w:cs="方正楷体_GBK"/>
                <w:color w:val="auto"/>
                <w:kern w:val="0"/>
                <w:sz w:val="28"/>
                <w:szCs w:val="28"/>
                <w:lang w:eastAsia="zh-CN"/>
              </w:rPr>
              <w:t>裁量阶次</w:t>
            </w:r>
          </w:p>
        </w:tc>
        <w:tc>
          <w:tcPr>
            <w:tcW w:w="3576" w:type="dxa"/>
            <w:vAlign w:val="center"/>
          </w:tcPr>
          <w:p w14:paraId="2073608E">
            <w:pPr>
              <w:keepNext w:val="0"/>
              <w:keepLines w:val="0"/>
              <w:pageBreakBefore w:val="0"/>
              <w:widowControl w:val="0"/>
              <w:kinsoku/>
              <w:wordWrap/>
              <w:overflowPunct/>
              <w:topLinePunct w:val="0"/>
              <w:autoSpaceDE w:val="0"/>
              <w:autoSpaceDN w:val="0"/>
              <w:bidi w:val="0"/>
              <w:adjustRightInd/>
              <w:snapToGrid/>
              <w:spacing w:before="0" w:after="0" w:line="400" w:lineRule="exact"/>
              <w:jc w:val="center"/>
              <w:textAlignment w:val="auto"/>
              <w:rPr>
                <w:rFonts w:hint="eastAsia" w:ascii="方正楷体_GBK" w:hAnsi="方正楷体_GBK" w:eastAsia="方正楷体_GBK" w:cs="方正楷体_GBK"/>
                <w:color w:val="auto"/>
                <w:kern w:val="0"/>
                <w:sz w:val="28"/>
                <w:szCs w:val="28"/>
                <w:lang w:eastAsia="zh-CN"/>
              </w:rPr>
            </w:pPr>
            <w:r>
              <w:rPr>
                <w:rFonts w:hint="eastAsia" w:ascii="方正楷体_GBK" w:hAnsi="方正楷体_GBK" w:eastAsia="方正楷体_GBK" w:cs="方正楷体_GBK"/>
                <w:color w:val="auto"/>
                <w:kern w:val="0"/>
                <w:sz w:val="28"/>
                <w:szCs w:val="28"/>
                <w:lang w:eastAsia="zh-CN"/>
              </w:rPr>
              <w:t>适用条件</w:t>
            </w:r>
          </w:p>
        </w:tc>
        <w:tc>
          <w:tcPr>
            <w:tcW w:w="3388" w:type="dxa"/>
            <w:vAlign w:val="center"/>
          </w:tcPr>
          <w:p w14:paraId="774017CE">
            <w:pPr>
              <w:keepNext w:val="0"/>
              <w:keepLines w:val="0"/>
              <w:pageBreakBefore w:val="0"/>
              <w:widowControl w:val="0"/>
              <w:kinsoku/>
              <w:wordWrap/>
              <w:overflowPunct/>
              <w:topLinePunct w:val="0"/>
              <w:autoSpaceDE w:val="0"/>
              <w:autoSpaceDN w:val="0"/>
              <w:bidi w:val="0"/>
              <w:adjustRightInd/>
              <w:snapToGrid/>
              <w:spacing w:before="0" w:after="0" w:line="400" w:lineRule="exact"/>
              <w:jc w:val="center"/>
              <w:textAlignment w:val="auto"/>
              <w:rPr>
                <w:rFonts w:hint="eastAsia" w:ascii="方正楷体_GBK" w:hAnsi="方正楷体_GBK" w:eastAsia="方正楷体_GBK" w:cs="方正楷体_GBK"/>
                <w:color w:val="auto"/>
                <w:kern w:val="0"/>
                <w:sz w:val="28"/>
                <w:szCs w:val="28"/>
                <w:lang w:eastAsia="zh-CN"/>
              </w:rPr>
            </w:pPr>
            <w:r>
              <w:rPr>
                <w:rFonts w:hint="eastAsia" w:ascii="方正楷体_GBK" w:hAnsi="方正楷体_GBK" w:eastAsia="方正楷体_GBK" w:cs="方正楷体_GBK"/>
                <w:color w:val="auto"/>
                <w:kern w:val="0"/>
                <w:sz w:val="28"/>
                <w:szCs w:val="28"/>
                <w:lang w:eastAsia="zh-CN"/>
              </w:rPr>
              <w:t>具体标准</w:t>
            </w:r>
          </w:p>
        </w:tc>
      </w:tr>
      <w:tr w14:paraId="7CFBF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676" w:type="dxa"/>
            <w:vAlign w:val="center"/>
          </w:tcPr>
          <w:p w14:paraId="215C7C74">
            <w:pPr>
              <w:keepNext w:val="0"/>
              <w:keepLines w:val="0"/>
              <w:pageBreakBefore w:val="0"/>
              <w:widowControl w:val="0"/>
              <w:kinsoku/>
              <w:wordWrap/>
              <w:overflowPunct/>
              <w:topLinePunct w:val="0"/>
              <w:bidi w:val="0"/>
              <w:adjustRightInd/>
              <w:snapToGrid/>
              <w:spacing w:before="0" w:after="0" w:line="400" w:lineRule="exact"/>
              <w:jc w:val="center"/>
              <w:textAlignment w:val="auto"/>
              <w:rPr>
                <w:rFonts w:hint="default"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lang w:val="en-US" w:eastAsia="zh-CN"/>
              </w:rPr>
              <w:t>情节轻微</w:t>
            </w:r>
          </w:p>
        </w:tc>
        <w:tc>
          <w:tcPr>
            <w:tcW w:w="3576" w:type="dxa"/>
            <w:vAlign w:val="center"/>
          </w:tcPr>
          <w:p w14:paraId="07E5CD8A">
            <w:pPr>
              <w:keepNext w:val="0"/>
              <w:keepLines w:val="0"/>
              <w:pageBreakBefore w:val="0"/>
              <w:widowControl w:val="0"/>
              <w:kinsoku/>
              <w:wordWrap/>
              <w:overflowPunct/>
              <w:topLinePunct w:val="0"/>
              <w:bidi w:val="0"/>
              <w:adjustRightInd/>
              <w:snapToGrid/>
              <w:spacing w:before="0" w:after="0" w:line="40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未按照规定建立并遵守出厂检验记录制度，</w:t>
            </w:r>
            <w:r>
              <w:rPr>
                <w:rFonts w:hint="eastAsia" w:ascii="方正仿宋_GBK" w:hAnsi="方正仿宋_GBK" w:eastAsia="方正仿宋_GBK" w:cs="方正仿宋_GBK"/>
                <w:color w:val="auto"/>
                <w:kern w:val="0"/>
                <w:sz w:val="28"/>
                <w:szCs w:val="28"/>
                <w:lang w:val="en-US" w:eastAsia="zh-CN"/>
              </w:rPr>
              <w:t>产品未流入市场，</w:t>
            </w:r>
            <w:r>
              <w:rPr>
                <w:rFonts w:hint="eastAsia" w:ascii="方正仿宋_GBK" w:hAnsi="方正仿宋_GBK" w:eastAsia="方正仿宋_GBK" w:cs="方正仿宋_GBK"/>
                <w:color w:val="auto"/>
                <w:kern w:val="0"/>
                <w:sz w:val="28"/>
                <w:szCs w:val="28"/>
              </w:rPr>
              <w:t>经责令改正已及时改正</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且不存在故意行为</w:t>
            </w:r>
            <w:r>
              <w:rPr>
                <w:rFonts w:hint="eastAsia" w:ascii="方正仿宋_GBK" w:hAnsi="方正仿宋_GBK" w:eastAsia="方正仿宋_GBK" w:cs="方正仿宋_GBK"/>
                <w:color w:val="auto"/>
                <w:kern w:val="0"/>
                <w:sz w:val="28"/>
                <w:szCs w:val="28"/>
              </w:rPr>
              <w:t>的</w:t>
            </w:r>
          </w:p>
        </w:tc>
        <w:tc>
          <w:tcPr>
            <w:tcW w:w="3388" w:type="dxa"/>
            <w:vAlign w:val="center"/>
          </w:tcPr>
          <w:p w14:paraId="242A2C51">
            <w:pPr>
              <w:keepNext w:val="0"/>
              <w:keepLines w:val="0"/>
              <w:pageBreakBefore w:val="0"/>
              <w:widowControl w:val="0"/>
              <w:kinsoku/>
              <w:wordWrap/>
              <w:overflowPunct/>
              <w:topLinePunct w:val="0"/>
              <w:bidi w:val="0"/>
              <w:adjustRightInd/>
              <w:snapToGrid/>
              <w:spacing w:before="0" w:after="0" w:line="400" w:lineRule="exact"/>
              <w:jc w:val="center"/>
              <w:textAlignment w:val="auto"/>
              <w:rPr>
                <w:rFonts w:hint="eastAsia" w:ascii="方正仿宋_GBK" w:hAnsi="方正仿宋_GBK" w:eastAsia="方正仿宋_GBK" w:cs="方正仿宋_GBK"/>
                <w:strike/>
                <w:color w:val="auto"/>
                <w:kern w:val="0"/>
                <w:sz w:val="28"/>
                <w:szCs w:val="28"/>
              </w:rPr>
            </w:pPr>
            <w:r>
              <w:rPr>
                <w:rFonts w:hint="eastAsia" w:ascii="方正仿宋_GBK" w:hAnsi="方正仿宋_GBK" w:eastAsia="方正仿宋_GBK" w:cs="方正仿宋_GBK"/>
                <w:color w:val="auto"/>
                <w:kern w:val="0"/>
                <w:sz w:val="28"/>
                <w:szCs w:val="28"/>
              </w:rPr>
              <w:t>警告</w:t>
            </w:r>
          </w:p>
        </w:tc>
      </w:tr>
      <w:tr w14:paraId="0B2E0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676" w:type="dxa"/>
            <w:vAlign w:val="center"/>
          </w:tcPr>
          <w:p w14:paraId="34DB2CC9">
            <w:pPr>
              <w:keepNext w:val="0"/>
              <w:keepLines w:val="0"/>
              <w:pageBreakBefore w:val="0"/>
              <w:widowControl w:val="0"/>
              <w:kinsoku/>
              <w:wordWrap/>
              <w:overflowPunct/>
              <w:topLinePunct w:val="0"/>
              <w:bidi w:val="0"/>
              <w:adjustRightInd/>
              <w:snapToGrid/>
              <w:spacing w:before="0" w:after="0" w:line="400" w:lineRule="exact"/>
              <w:jc w:val="center"/>
              <w:textAlignment w:val="auto"/>
              <w:rPr>
                <w:rFonts w:hint="default"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lang w:val="en-US" w:eastAsia="zh-CN"/>
              </w:rPr>
              <w:t>情节较轻</w:t>
            </w:r>
          </w:p>
        </w:tc>
        <w:tc>
          <w:tcPr>
            <w:tcW w:w="3576" w:type="dxa"/>
            <w:vAlign w:val="center"/>
          </w:tcPr>
          <w:p w14:paraId="6C38A112">
            <w:pPr>
              <w:keepNext w:val="0"/>
              <w:keepLines w:val="0"/>
              <w:pageBreakBefore w:val="0"/>
              <w:widowControl w:val="0"/>
              <w:kinsoku/>
              <w:wordWrap/>
              <w:overflowPunct/>
              <w:topLinePunct w:val="0"/>
              <w:bidi w:val="0"/>
              <w:adjustRightInd/>
              <w:snapToGrid/>
              <w:spacing w:before="0" w:after="0" w:line="40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未按照规定建立并遵守出厂检验记录制度，拒不改正，</w:t>
            </w:r>
            <w:r>
              <w:rPr>
                <w:rFonts w:hint="eastAsia" w:ascii="方正仿宋_GBK" w:hAnsi="方正仿宋_GBK" w:eastAsia="方正仿宋_GBK" w:cs="方正仿宋_GBK"/>
                <w:color w:val="auto"/>
                <w:kern w:val="0"/>
                <w:sz w:val="28"/>
                <w:szCs w:val="28"/>
                <w:lang w:val="en-US" w:eastAsia="zh-CN"/>
              </w:rPr>
              <w:t>存在</w:t>
            </w:r>
            <w:r>
              <w:rPr>
                <w:rFonts w:hint="eastAsia" w:ascii="方正仿宋_GBK" w:hAnsi="方正仿宋_GBK" w:eastAsia="方正仿宋_GBK" w:cs="方正仿宋_GBK"/>
                <w:color w:val="auto"/>
                <w:kern w:val="0"/>
                <w:sz w:val="28"/>
                <w:szCs w:val="28"/>
              </w:rPr>
              <w:t>故意实施违法行为</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但未造成危害后果的</w:t>
            </w:r>
          </w:p>
        </w:tc>
        <w:tc>
          <w:tcPr>
            <w:tcW w:w="3388" w:type="dxa"/>
            <w:vAlign w:val="center"/>
          </w:tcPr>
          <w:p w14:paraId="50FBDF06">
            <w:pPr>
              <w:keepNext w:val="0"/>
              <w:keepLines w:val="0"/>
              <w:pageBreakBefore w:val="0"/>
              <w:widowControl w:val="0"/>
              <w:kinsoku/>
              <w:wordWrap/>
              <w:overflowPunct/>
              <w:topLinePunct w:val="0"/>
              <w:bidi w:val="0"/>
              <w:adjustRightInd/>
              <w:snapToGrid/>
              <w:spacing w:before="0" w:after="0" w:line="400" w:lineRule="exac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lang w:val="en-US" w:eastAsia="zh-CN"/>
              </w:rPr>
              <w:t>对单位处以</w:t>
            </w:r>
            <w:r>
              <w:rPr>
                <w:rFonts w:hint="eastAsia" w:ascii="方正仿宋_GBK" w:hAnsi="方正仿宋_GBK" w:eastAsia="方正仿宋_GBK" w:cs="方正仿宋_GBK"/>
                <w:color w:val="auto"/>
                <w:kern w:val="0"/>
                <w:sz w:val="28"/>
                <w:szCs w:val="28"/>
              </w:rPr>
              <w:t>警告</w:t>
            </w:r>
            <w:r>
              <w:rPr>
                <w:rFonts w:hint="eastAsia" w:ascii="方正仿宋_GBK" w:hAnsi="方正仿宋_GBK" w:eastAsia="方正仿宋_GBK" w:cs="方正仿宋_GBK"/>
                <w:color w:val="auto"/>
                <w:kern w:val="0"/>
                <w:sz w:val="28"/>
                <w:szCs w:val="28"/>
                <w:lang w:val="en-US" w:eastAsia="zh-CN"/>
              </w:rPr>
              <w:t>及5000</w:t>
            </w:r>
            <w:r>
              <w:rPr>
                <w:rFonts w:hint="eastAsia" w:ascii="方正仿宋_GBK" w:hAnsi="方正仿宋_GBK" w:eastAsia="方正仿宋_GBK" w:cs="方正仿宋_GBK"/>
                <w:color w:val="auto"/>
                <w:kern w:val="0"/>
                <w:sz w:val="28"/>
                <w:szCs w:val="28"/>
              </w:rPr>
              <w:t>元≤罚款＜</w:t>
            </w:r>
            <w:r>
              <w:rPr>
                <w:rFonts w:hint="eastAsia" w:ascii="方正仿宋_GBK" w:hAnsi="方正仿宋_GBK" w:eastAsia="方正仿宋_GBK" w:cs="方正仿宋_GBK"/>
                <w:color w:val="auto"/>
                <w:kern w:val="0"/>
                <w:sz w:val="28"/>
                <w:szCs w:val="28"/>
                <w:lang w:val="en-US" w:eastAsia="zh-CN"/>
              </w:rPr>
              <w:t>18500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对单位的法定代表人、主要负责人、直接负责的主管人员和其他直接责任人员处以其上一年度从本单位取得收入的1倍以上</w:t>
            </w:r>
            <w:r>
              <w:rPr>
                <w:rFonts w:hint="eastAsia" w:ascii="方正仿宋_GBK" w:hAnsi="方正仿宋_GBK" w:eastAsia="方正仿宋_GBK" w:cs="方正仿宋_GBK"/>
                <w:color w:val="auto"/>
                <w:kern w:val="0"/>
                <w:sz w:val="28"/>
                <w:szCs w:val="28"/>
                <w:lang w:val="en-US" w:eastAsia="zh-CN"/>
              </w:rPr>
              <w:t>3.7</w:t>
            </w:r>
            <w:r>
              <w:rPr>
                <w:rFonts w:hint="eastAsia" w:ascii="方正仿宋_GBK" w:hAnsi="方正仿宋_GBK" w:eastAsia="方正仿宋_GBK" w:cs="方正仿宋_GBK"/>
                <w:color w:val="auto"/>
                <w:kern w:val="0"/>
                <w:sz w:val="28"/>
                <w:szCs w:val="28"/>
              </w:rPr>
              <w:t>倍以下罚款</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1倍</w:t>
            </w:r>
            <w:r>
              <w:rPr>
                <w:rFonts w:hint="eastAsia" w:ascii="方正仿宋_GBK" w:hAnsi="方正仿宋_GBK" w:eastAsia="方正仿宋_GBK" w:cs="方正仿宋_GBK"/>
                <w:color w:val="auto"/>
                <w:kern w:val="0"/>
                <w:sz w:val="28"/>
                <w:szCs w:val="28"/>
              </w:rPr>
              <w:t>≤罚款＜</w:t>
            </w:r>
            <w:r>
              <w:rPr>
                <w:rFonts w:hint="eastAsia" w:ascii="方正仿宋_GBK" w:hAnsi="方正仿宋_GBK" w:eastAsia="方正仿宋_GBK" w:cs="方正仿宋_GBK"/>
                <w:color w:val="auto"/>
                <w:kern w:val="0"/>
                <w:sz w:val="28"/>
                <w:szCs w:val="28"/>
                <w:lang w:val="en-US" w:eastAsia="zh-CN"/>
              </w:rPr>
              <w:t>3.7</w:t>
            </w:r>
            <w:r>
              <w:rPr>
                <w:rFonts w:hint="eastAsia" w:ascii="方正仿宋_GBK" w:hAnsi="方正仿宋_GBK" w:eastAsia="方正仿宋_GBK" w:cs="方正仿宋_GBK"/>
                <w:color w:val="auto"/>
                <w:kern w:val="0"/>
                <w:sz w:val="28"/>
                <w:szCs w:val="28"/>
              </w:rPr>
              <w:t>倍</w:t>
            </w:r>
            <w:r>
              <w:rPr>
                <w:rFonts w:hint="eastAsia" w:ascii="方正仿宋_GBK" w:hAnsi="方正仿宋_GBK" w:eastAsia="方正仿宋_GBK" w:cs="方正仿宋_GBK"/>
                <w:color w:val="auto"/>
                <w:kern w:val="0"/>
                <w:sz w:val="28"/>
                <w:szCs w:val="28"/>
                <w:lang w:eastAsia="zh-CN"/>
              </w:rPr>
              <w:t>）</w:t>
            </w:r>
          </w:p>
        </w:tc>
      </w:tr>
      <w:tr w14:paraId="1DC07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676" w:type="dxa"/>
            <w:vAlign w:val="center"/>
          </w:tcPr>
          <w:p w14:paraId="0041EE07">
            <w:pPr>
              <w:keepNext w:val="0"/>
              <w:keepLines w:val="0"/>
              <w:pageBreakBefore w:val="0"/>
              <w:widowControl w:val="0"/>
              <w:kinsoku/>
              <w:wordWrap/>
              <w:overflowPunct/>
              <w:topLinePunct w:val="0"/>
              <w:bidi w:val="0"/>
              <w:adjustRightInd/>
              <w:snapToGrid/>
              <w:spacing w:before="0" w:after="0" w:line="400" w:lineRule="exact"/>
              <w:jc w:val="center"/>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lang w:val="en-US" w:eastAsia="zh-CN"/>
              </w:rPr>
              <w:t>情节一般</w:t>
            </w:r>
          </w:p>
        </w:tc>
        <w:tc>
          <w:tcPr>
            <w:tcW w:w="3576" w:type="dxa"/>
            <w:vAlign w:val="center"/>
          </w:tcPr>
          <w:p w14:paraId="4FE313E8">
            <w:pPr>
              <w:keepNext w:val="0"/>
              <w:keepLines w:val="0"/>
              <w:pageBreakBefore w:val="0"/>
              <w:widowControl w:val="0"/>
              <w:kinsoku/>
              <w:wordWrap/>
              <w:overflowPunct/>
              <w:topLinePunct w:val="0"/>
              <w:bidi w:val="0"/>
              <w:adjustRightInd/>
              <w:snapToGrid/>
              <w:spacing w:before="0" w:after="0" w:line="40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未按照规定建立并遵守出厂检验记录制度，拒不改正</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w:t>
            </w:r>
            <w:r>
              <w:rPr>
                <w:rFonts w:hint="eastAsia" w:ascii="方正仿宋_GBK" w:hAnsi="方正仿宋_GBK" w:eastAsia="方正仿宋_GBK" w:cs="方正仿宋_GBK"/>
                <w:color w:val="auto"/>
                <w:kern w:val="0"/>
                <w:sz w:val="28"/>
                <w:szCs w:val="28"/>
              </w:rPr>
              <w:t>违法行为性质恶劣</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但未造成危害后果的</w:t>
            </w:r>
          </w:p>
        </w:tc>
        <w:tc>
          <w:tcPr>
            <w:tcW w:w="3388" w:type="dxa"/>
            <w:vAlign w:val="center"/>
          </w:tcPr>
          <w:p w14:paraId="258E4EC4">
            <w:pPr>
              <w:keepNext w:val="0"/>
              <w:keepLines w:val="0"/>
              <w:pageBreakBefore w:val="0"/>
              <w:widowControl w:val="0"/>
              <w:kinsoku/>
              <w:wordWrap/>
              <w:overflowPunct/>
              <w:topLinePunct w:val="0"/>
              <w:bidi w:val="0"/>
              <w:adjustRightInd/>
              <w:snapToGrid/>
              <w:spacing w:before="0" w:after="0" w:line="400" w:lineRule="exac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lang w:val="en-US" w:eastAsia="zh-CN"/>
              </w:rPr>
              <w:t>对单位处以</w:t>
            </w:r>
            <w:r>
              <w:rPr>
                <w:rFonts w:hint="eastAsia" w:ascii="方正仿宋_GBK" w:hAnsi="方正仿宋_GBK" w:eastAsia="方正仿宋_GBK" w:cs="方正仿宋_GBK"/>
                <w:color w:val="auto"/>
                <w:kern w:val="0"/>
                <w:sz w:val="28"/>
                <w:szCs w:val="28"/>
              </w:rPr>
              <w:t>警告</w:t>
            </w:r>
            <w:r>
              <w:rPr>
                <w:rFonts w:hint="eastAsia" w:ascii="方正仿宋_GBK" w:hAnsi="方正仿宋_GBK" w:eastAsia="方正仿宋_GBK" w:cs="方正仿宋_GBK"/>
                <w:color w:val="auto"/>
                <w:kern w:val="0"/>
                <w:sz w:val="28"/>
                <w:szCs w:val="28"/>
                <w:lang w:val="en-US" w:eastAsia="zh-CN"/>
              </w:rPr>
              <w:t>及18500</w:t>
            </w:r>
            <w:r>
              <w:rPr>
                <w:rFonts w:hint="eastAsia" w:ascii="方正仿宋_GBK" w:hAnsi="方正仿宋_GBK" w:eastAsia="方正仿宋_GBK" w:cs="方正仿宋_GBK"/>
                <w:color w:val="auto"/>
                <w:kern w:val="0"/>
                <w:sz w:val="28"/>
                <w:szCs w:val="28"/>
              </w:rPr>
              <w:t>元≤罚款＜</w:t>
            </w:r>
            <w:r>
              <w:rPr>
                <w:rFonts w:hint="eastAsia" w:ascii="方正仿宋_GBK" w:hAnsi="方正仿宋_GBK" w:eastAsia="方正仿宋_GBK" w:cs="方正仿宋_GBK"/>
                <w:color w:val="auto"/>
                <w:kern w:val="0"/>
                <w:sz w:val="28"/>
                <w:szCs w:val="28"/>
                <w:lang w:val="en-US" w:eastAsia="zh-CN"/>
              </w:rPr>
              <w:t>36500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对单位的法定代表人、主要负责人、直接负责的主管人员和其他直接责任人员处以其上一年度从本单位取得收入的</w:t>
            </w:r>
            <w:r>
              <w:rPr>
                <w:rFonts w:hint="eastAsia" w:ascii="方正仿宋_GBK" w:hAnsi="方正仿宋_GBK" w:eastAsia="方正仿宋_GBK" w:cs="方正仿宋_GBK"/>
                <w:color w:val="auto"/>
                <w:kern w:val="0"/>
                <w:sz w:val="28"/>
                <w:szCs w:val="28"/>
                <w:lang w:val="en-US" w:eastAsia="zh-CN"/>
              </w:rPr>
              <w:t>3.7</w:t>
            </w:r>
            <w:r>
              <w:rPr>
                <w:rFonts w:hint="eastAsia" w:ascii="方正仿宋_GBK" w:hAnsi="方正仿宋_GBK" w:eastAsia="方正仿宋_GBK" w:cs="方正仿宋_GBK"/>
                <w:color w:val="auto"/>
                <w:kern w:val="0"/>
                <w:sz w:val="28"/>
                <w:szCs w:val="28"/>
              </w:rPr>
              <w:t>倍以上7</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倍以下罚款</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3.7倍</w:t>
            </w:r>
            <w:r>
              <w:rPr>
                <w:rFonts w:hint="eastAsia" w:ascii="方正仿宋_GBK" w:hAnsi="方正仿宋_GBK" w:eastAsia="方正仿宋_GBK" w:cs="方正仿宋_GBK"/>
                <w:color w:val="auto"/>
                <w:kern w:val="0"/>
                <w:sz w:val="28"/>
                <w:szCs w:val="28"/>
              </w:rPr>
              <w:t>≤罚款＜</w:t>
            </w:r>
            <w:r>
              <w:rPr>
                <w:rFonts w:hint="eastAsia" w:ascii="方正仿宋_GBK" w:hAnsi="方正仿宋_GBK" w:eastAsia="方正仿宋_GBK" w:cs="方正仿宋_GBK"/>
                <w:color w:val="auto"/>
                <w:kern w:val="0"/>
                <w:sz w:val="28"/>
                <w:szCs w:val="28"/>
                <w:lang w:val="en-US" w:eastAsia="zh-CN"/>
              </w:rPr>
              <w:t>7.3</w:t>
            </w:r>
            <w:r>
              <w:rPr>
                <w:rFonts w:hint="eastAsia" w:ascii="方正仿宋_GBK" w:hAnsi="方正仿宋_GBK" w:eastAsia="方正仿宋_GBK" w:cs="方正仿宋_GBK"/>
                <w:color w:val="auto"/>
                <w:kern w:val="0"/>
                <w:sz w:val="28"/>
                <w:szCs w:val="28"/>
              </w:rPr>
              <w:t>倍</w:t>
            </w:r>
            <w:r>
              <w:rPr>
                <w:rFonts w:hint="eastAsia" w:ascii="方正仿宋_GBK" w:hAnsi="方正仿宋_GBK" w:eastAsia="方正仿宋_GBK" w:cs="方正仿宋_GBK"/>
                <w:color w:val="auto"/>
                <w:kern w:val="0"/>
                <w:sz w:val="28"/>
                <w:szCs w:val="28"/>
                <w:lang w:eastAsia="zh-CN"/>
              </w:rPr>
              <w:t>）</w:t>
            </w:r>
          </w:p>
        </w:tc>
      </w:tr>
      <w:tr w14:paraId="2F903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76" w:type="dxa"/>
            <w:vAlign w:val="center"/>
          </w:tcPr>
          <w:p w14:paraId="35E65930">
            <w:pPr>
              <w:keepNext w:val="0"/>
              <w:keepLines w:val="0"/>
              <w:pageBreakBefore w:val="0"/>
              <w:widowControl w:val="0"/>
              <w:kinsoku/>
              <w:wordWrap/>
              <w:overflowPunct/>
              <w:topLinePunct w:val="0"/>
              <w:bidi w:val="0"/>
              <w:adjustRightInd/>
              <w:snapToGrid/>
              <w:spacing w:before="0" w:after="0" w:line="40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lang w:val="en-US" w:eastAsia="zh-CN"/>
              </w:rPr>
              <w:t>情节较重</w:t>
            </w:r>
          </w:p>
        </w:tc>
        <w:tc>
          <w:tcPr>
            <w:tcW w:w="3576" w:type="dxa"/>
            <w:vAlign w:val="center"/>
          </w:tcPr>
          <w:p w14:paraId="6841306A">
            <w:pPr>
              <w:keepNext w:val="0"/>
              <w:keepLines w:val="0"/>
              <w:pageBreakBefore w:val="0"/>
              <w:widowControl w:val="0"/>
              <w:kinsoku/>
              <w:wordWrap/>
              <w:overflowPunct/>
              <w:topLinePunct w:val="0"/>
              <w:bidi w:val="0"/>
              <w:adjustRightInd/>
              <w:snapToGrid/>
              <w:spacing w:before="0" w:after="0" w:line="40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未按照规定建立并遵守出厂检验记录制度，拒不改正，</w:t>
            </w:r>
            <w:r>
              <w:rPr>
                <w:rFonts w:hint="eastAsia" w:ascii="方正仿宋_GBK" w:hAnsi="方正仿宋_GBK" w:eastAsia="方正仿宋_GBK" w:cs="方正仿宋_GBK"/>
                <w:color w:val="auto"/>
                <w:kern w:val="0"/>
                <w:sz w:val="28"/>
                <w:szCs w:val="28"/>
                <w:lang w:val="en-US" w:eastAsia="zh-CN"/>
              </w:rPr>
              <w:t>存在</w:t>
            </w:r>
            <w:r>
              <w:rPr>
                <w:rFonts w:hint="eastAsia" w:ascii="方正仿宋_GBK" w:hAnsi="方正仿宋_GBK" w:eastAsia="方正仿宋_GBK" w:cs="方正仿宋_GBK"/>
                <w:color w:val="auto"/>
                <w:kern w:val="0"/>
                <w:sz w:val="28"/>
                <w:szCs w:val="28"/>
              </w:rPr>
              <w:t>故意实施违法行为</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且造成严重后果的</w:t>
            </w:r>
          </w:p>
        </w:tc>
        <w:tc>
          <w:tcPr>
            <w:tcW w:w="3388" w:type="dxa"/>
            <w:vAlign w:val="center"/>
          </w:tcPr>
          <w:p w14:paraId="35325435">
            <w:pPr>
              <w:keepNext w:val="0"/>
              <w:keepLines w:val="0"/>
              <w:pageBreakBefore w:val="0"/>
              <w:widowControl w:val="0"/>
              <w:kinsoku/>
              <w:wordWrap/>
              <w:overflowPunct/>
              <w:topLinePunct w:val="0"/>
              <w:bidi w:val="0"/>
              <w:adjustRightInd/>
              <w:snapToGrid/>
              <w:spacing w:before="0" w:after="0" w:line="400" w:lineRule="exact"/>
              <w:textAlignment w:val="auto"/>
              <w:rPr>
                <w:rFonts w:hint="eastAsia" w:ascii="方正仿宋_GBK" w:hAnsi="方正仿宋_GBK" w:eastAsia="方正仿宋_GBK" w:cs="方正仿宋_GBK"/>
                <w:strike/>
                <w:color w:val="auto"/>
                <w:kern w:val="0"/>
                <w:sz w:val="28"/>
                <w:szCs w:val="28"/>
                <w:lang w:eastAsia="zh-CN"/>
              </w:rPr>
            </w:pPr>
            <w:r>
              <w:rPr>
                <w:rFonts w:hint="eastAsia" w:ascii="方正仿宋_GBK" w:hAnsi="方正仿宋_GBK" w:eastAsia="方正仿宋_GBK" w:cs="方正仿宋_GBK"/>
                <w:color w:val="auto"/>
                <w:kern w:val="0"/>
                <w:sz w:val="28"/>
                <w:szCs w:val="28"/>
                <w:lang w:val="en-US" w:eastAsia="zh-CN"/>
              </w:rPr>
              <w:t>对单位处以</w:t>
            </w:r>
            <w:r>
              <w:rPr>
                <w:rFonts w:hint="eastAsia" w:ascii="方正仿宋_GBK" w:hAnsi="方正仿宋_GBK" w:eastAsia="方正仿宋_GBK" w:cs="方正仿宋_GBK"/>
                <w:color w:val="auto"/>
                <w:kern w:val="0"/>
                <w:sz w:val="28"/>
                <w:szCs w:val="28"/>
              </w:rPr>
              <w:t>警告</w:t>
            </w:r>
            <w:r>
              <w:rPr>
                <w:rFonts w:hint="eastAsia" w:ascii="方正仿宋_GBK" w:hAnsi="方正仿宋_GBK" w:eastAsia="方正仿宋_GBK" w:cs="方正仿宋_GBK"/>
                <w:color w:val="auto"/>
                <w:kern w:val="0"/>
                <w:sz w:val="28"/>
                <w:szCs w:val="28"/>
                <w:lang w:val="en-US" w:eastAsia="zh-CN"/>
              </w:rPr>
              <w:t>及36500</w:t>
            </w:r>
            <w:r>
              <w:rPr>
                <w:rFonts w:hint="eastAsia" w:ascii="方正仿宋_GBK" w:hAnsi="方正仿宋_GBK" w:eastAsia="方正仿宋_GBK" w:cs="方正仿宋_GBK"/>
                <w:color w:val="auto"/>
                <w:kern w:val="0"/>
                <w:sz w:val="28"/>
                <w:szCs w:val="28"/>
              </w:rPr>
              <w:t>元≤罚款≤5</w:t>
            </w:r>
            <w:r>
              <w:rPr>
                <w:rFonts w:hint="eastAsia" w:ascii="方正仿宋_GBK" w:hAnsi="方正仿宋_GBK" w:eastAsia="方正仿宋_GBK" w:cs="方正仿宋_GBK"/>
                <w:color w:val="auto"/>
                <w:kern w:val="0"/>
                <w:sz w:val="28"/>
                <w:szCs w:val="28"/>
                <w:lang w:val="en-US" w:eastAsia="zh-CN"/>
              </w:rPr>
              <w:t>0000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对单位的法定代表人、主要负责人、直接负责的主管人员和其他直接责任人员处以其上一年度从本单位取得收入的7</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倍以上10倍以下罚款</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7.3倍</w:t>
            </w:r>
            <w:r>
              <w:rPr>
                <w:rFonts w:hint="eastAsia" w:ascii="方正仿宋_GBK" w:hAnsi="方正仿宋_GBK" w:eastAsia="方正仿宋_GBK" w:cs="方正仿宋_GBK"/>
                <w:color w:val="auto"/>
                <w:kern w:val="0"/>
                <w:sz w:val="28"/>
                <w:szCs w:val="28"/>
              </w:rPr>
              <w:t>≤罚款≤</w:t>
            </w:r>
            <w:r>
              <w:rPr>
                <w:rFonts w:hint="eastAsia" w:ascii="方正仿宋_GBK" w:hAnsi="方正仿宋_GBK" w:eastAsia="方正仿宋_GBK" w:cs="方正仿宋_GBK"/>
                <w:color w:val="auto"/>
                <w:kern w:val="0"/>
                <w:sz w:val="28"/>
                <w:szCs w:val="28"/>
                <w:lang w:val="en-US" w:eastAsia="zh-CN"/>
              </w:rPr>
              <w:t>10</w:t>
            </w:r>
            <w:r>
              <w:rPr>
                <w:rFonts w:hint="eastAsia" w:ascii="方正仿宋_GBK" w:hAnsi="方正仿宋_GBK" w:eastAsia="方正仿宋_GBK" w:cs="方正仿宋_GBK"/>
                <w:color w:val="auto"/>
                <w:kern w:val="0"/>
                <w:sz w:val="28"/>
                <w:szCs w:val="28"/>
              </w:rPr>
              <w:t>倍</w:t>
            </w:r>
            <w:r>
              <w:rPr>
                <w:rFonts w:hint="eastAsia" w:ascii="方正仿宋_GBK" w:hAnsi="方正仿宋_GBK" w:eastAsia="方正仿宋_GBK" w:cs="方正仿宋_GBK"/>
                <w:color w:val="auto"/>
                <w:kern w:val="0"/>
                <w:sz w:val="28"/>
                <w:szCs w:val="28"/>
                <w:lang w:eastAsia="zh-CN"/>
              </w:rPr>
              <w:t>）；</w:t>
            </w:r>
          </w:p>
        </w:tc>
      </w:tr>
    </w:tbl>
    <w:p w14:paraId="18C389CB">
      <w:pPr>
        <w:keepNext w:val="0"/>
        <w:keepLines w:val="0"/>
        <w:pageBreakBefore w:val="0"/>
        <w:kinsoku/>
        <w:wordWrap/>
        <w:overflowPunct/>
        <w:topLinePunct w:val="0"/>
        <w:bidi w:val="0"/>
        <w:adjustRightInd/>
        <w:snapToGrid/>
        <w:spacing w:before="0" w:after="0" w:line="560" w:lineRule="exact"/>
        <w:textAlignment w:val="auto"/>
        <w:rPr>
          <w:rFonts w:hint="eastAsia" w:ascii="方正黑体_GBK" w:hAnsi="方正黑体_GBK" w:eastAsia="方正黑体_GBK" w:cs="方正黑体_GBK"/>
          <w:b w:val="0"/>
          <w:bCs w:val="0"/>
          <w:sz w:val="32"/>
          <w:szCs w:val="32"/>
          <w:lang w:val="en-US" w:eastAsia="zh-CN"/>
        </w:rPr>
      </w:pPr>
    </w:p>
    <w:p w14:paraId="35A00DC8">
      <w:pPr>
        <w:keepNext w:val="0"/>
        <w:keepLines w:val="0"/>
        <w:pageBreakBefore w:val="0"/>
        <w:kinsoku/>
        <w:wordWrap/>
        <w:overflowPunct/>
        <w:topLinePunct w:val="0"/>
        <w:bidi w:val="0"/>
        <w:adjustRightInd/>
        <w:snapToGrid/>
        <w:spacing w:before="0" w:after="0" w:line="560" w:lineRule="exact"/>
        <w:jc w:val="center"/>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val="0"/>
          <w:bCs w:val="0"/>
          <w:sz w:val="32"/>
          <w:szCs w:val="32"/>
          <w:lang w:val="en-US" w:eastAsia="zh-CN"/>
        </w:rPr>
        <w:t>三、</w:t>
      </w:r>
      <w:r>
        <w:rPr>
          <w:rFonts w:hint="eastAsia" w:ascii="方正黑体_GBK" w:hAnsi="方正黑体_GBK" w:eastAsia="方正黑体_GBK" w:cs="方正黑体_GBK"/>
          <w:kern w:val="0"/>
          <w:sz w:val="32"/>
          <w:szCs w:val="32"/>
        </w:rPr>
        <w:t>《学校卫生工作条例》</w:t>
      </w:r>
    </w:p>
    <w:p w14:paraId="3E1549F0">
      <w:pPr>
        <w:autoSpaceDE w:val="0"/>
        <w:autoSpaceDN w:val="0"/>
        <w:adjustRightInd w:val="0"/>
        <w:snapToGrid w:val="0"/>
        <w:ind w:firstLine="565" w:firstLineChars="202"/>
        <w:jc w:val="left"/>
        <w:rPr>
          <w:rFonts w:ascii="仿宋" w:hAnsi="仿宋" w:eastAsia="仿宋" w:cs="Times New Roman"/>
          <w:sz w:val="28"/>
          <w:szCs w:val="28"/>
        </w:rPr>
      </w:pPr>
    </w:p>
    <w:p w14:paraId="2915F9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案由一：学校教学建筑、环境噪声、室内微小气候、采光、照明等环境质量以及黑板、课桌椅的设置不符合国家有关标准的</w:t>
      </w:r>
    </w:p>
    <w:p w14:paraId="7CCECF7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D97BCFB">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《学校卫生工作条例》第三十三条违反本条例第六条第一款、第七条和第十条规定的，由卫生行政部门对直接责任单位或者个人给予警告并责令限期改进。情节严重的，可以同时建议教育行政部门给予行政处分。</w:t>
      </w:r>
    </w:p>
    <w:p w14:paraId="7CE735C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p w14:paraId="0560B0E1">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违反该案由的，由</w:t>
      </w:r>
      <w:r>
        <w:rPr>
          <w:rFonts w:hint="eastAsia" w:ascii="方正仿宋_GBK" w:hAnsi="方正仿宋_GBK" w:eastAsia="方正仿宋_GBK" w:cs="方正仿宋_GBK"/>
          <w:kern w:val="0"/>
          <w:sz w:val="32"/>
          <w:szCs w:val="32"/>
          <w:lang w:val="en-US" w:eastAsia="zh-CN"/>
        </w:rPr>
        <w:t>疾控</w:t>
      </w:r>
      <w:r>
        <w:rPr>
          <w:rFonts w:hint="eastAsia" w:ascii="方正仿宋_GBK" w:hAnsi="方正仿宋_GBK" w:eastAsia="方正仿宋_GBK" w:cs="方正仿宋_GBK"/>
          <w:kern w:val="0"/>
          <w:sz w:val="32"/>
          <w:szCs w:val="32"/>
        </w:rPr>
        <w:t>行政部门对直接责任单位或个人给予警告并责令限期改进。情节严重的，可以同时建议教育行政部门给予行政处分。</w:t>
      </w:r>
    </w:p>
    <w:p w14:paraId="18F8B680">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小标宋_GBK" w:hAnsi="方正小标宋_GBK" w:eastAsia="方正小标宋_GBK" w:cs="方正小标宋_GBK"/>
          <w:kern w:val="0"/>
          <w:sz w:val="32"/>
          <w:szCs w:val="32"/>
          <w:lang w:val="en-US" w:eastAsia="zh-CN"/>
        </w:rPr>
      </w:pPr>
    </w:p>
    <w:p w14:paraId="0DD415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案由二：学校没有按照有关规定为学生设置厕所和洗手设施；寄宿制学校没有为学生提供相应的洗漱、洗澡等卫生设施的</w:t>
      </w:r>
    </w:p>
    <w:p w14:paraId="1EEBEE7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3B2D432">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b w:val="0"/>
          <w:bCs w:val="0"/>
          <w:kern w:val="0"/>
          <w:sz w:val="32"/>
          <w:szCs w:val="32"/>
        </w:rPr>
      </w:pPr>
      <w:r>
        <w:rPr>
          <w:rFonts w:hint="eastAsia" w:ascii="方正仿宋_GBK" w:hAnsi="方正仿宋_GBK" w:eastAsia="方正仿宋_GBK" w:cs="方正仿宋_GBK"/>
          <w:kern w:val="0"/>
          <w:sz w:val="32"/>
          <w:szCs w:val="32"/>
        </w:rPr>
        <w:t>《学校卫生工作条例》第三十三条违反本条例第六条第一款、第七条和第十条规定的，由卫生行政部门对直接责任单位或者个</w:t>
      </w:r>
      <w:r>
        <w:rPr>
          <w:rFonts w:hint="eastAsia" w:ascii="方正仿宋_GBK" w:hAnsi="方正仿宋_GBK" w:eastAsia="方正仿宋_GBK" w:cs="方正仿宋_GBK"/>
          <w:b w:val="0"/>
          <w:bCs w:val="0"/>
          <w:kern w:val="0"/>
          <w:sz w:val="32"/>
          <w:szCs w:val="32"/>
        </w:rPr>
        <w:t>人给予警告并责令限期改进。情节严重的，可以同时建议教育行政部门给予行政处分。</w:t>
      </w:r>
    </w:p>
    <w:p w14:paraId="62775F9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二、裁量权基准</w:t>
      </w:r>
    </w:p>
    <w:p w14:paraId="363E1A84">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违反该案由的，由</w:t>
      </w:r>
      <w:r>
        <w:rPr>
          <w:rFonts w:hint="eastAsia" w:ascii="方正仿宋_GBK" w:hAnsi="方正仿宋_GBK" w:eastAsia="方正仿宋_GBK" w:cs="方正仿宋_GBK"/>
          <w:kern w:val="0"/>
          <w:sz w:val="32"/>
          <w:szCs w:val="32"/>
          <w:lang w:val="en-US" w:eastAsia="zh-CN"/>
        </w:rPr>
        <w:t>疾控</w:t>
      </w:r>
      <w:r>
        <w:rPr>
          <w:rFonts w:hint="eastAsia" w:ascii="方正仿宋_GBK" w:hAnsi="方正仿宋_GBK" w:eastAsia="方正仿宋_GBK" w:cs="方正仿宋_GBK"/>
          <w:kern w:val="0"/>
          <w:sz w:val="32"/>
          <w:szCs w:val="32"/>
        </w:rPr>
        <w:t>行政部门对直接责任单位或个人给予警告并责令限期改进。情节严重的，可以同时建议教育行政部门给予行政处分。</w:t>
      </w:r>
    </w:p>
    <w:p w14:paraId="355BD0AF">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sz w:val="32"/>
          <w:szCs w:val="32"/>
        </w:rPr>
      </w:pPr>
    </w:p>
    <w:p w14:paraId="2031EC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案由三：学校没有为学生提供充足的符合卫生标准的饮用水的</w:t>
      </w:r>
    </w:p>
    <w:p w14:paraId="2CA7281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CFEE014">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《学校卫生工作条例》第三十三条违反本条例第六条第一款、第七条和第十条规定的，由卫生行政部门对直接责任单位或者个人给予警告并责令限期改进。情节严重的，可以同时建议教育行政部门给予行政处分。</w:t>
      </w:r>
    </w:p>
    <w:p w14:paraId="63BCD66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p w14:paraId="7DBF03FA">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违反该案由的，由</w:t>
      </w:r>
      <w:r>
        <w:rPr>
          <w:rFonts w:hint="eastAsia" w:ascii="方正仿宋_GBK" w:hAnsi="方正仿宋_GBK" w:eastAsia="方正仿宋_GBK" w:cs="方正仿宋_GBK"/>
          <w:kern w:val="0"/>
          <w:sz w:val="32"/>
          <w:szCs w:val="32"/>
          <w:lang w:val="en-US" w:eastAsia="zh-CN"/>
        </w:rPr>
        <w:t>疾控</w:t>
      </w:r>
      <w:r>
        <w:rPr>
          <w:rFonts w:hint="eastAsia" w:ascii="方正仿宋_GBK" w:hAnsi="方正仿宋_GBK" w:eastAsia="方正仿宋_GBK" w:cs="方正仿宋_GBK"/>
          <w:kern w:val="0"/>
          <w:sz w:val="32"/>
          <w:szCs w:val="32"/>
        </w:rPr>
        <w:t>行政部门对直接责任单位或个人给予警告并责令限期改进。情节严重的，可以同时建议教育行政部门给予行政处分。</w:t>
      </w:r>
    </w:p>
    <w:p w14:paraId="15136C00">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sz w:val="32"/>
          <w:szCs w:val="32"/>
        </w:rPr>
      </w:pPr>
    </w:p>
    <w:p w14:paraId="42725A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案由四：学校体育场地和器材不符合卫生和安全要求。运动项目和运动强度不适合学生的生理承受能力和体质健康状况，发生伤害事故的</w:t>
      </w:r>
    </w:p>
    <w:p w14:paraId="3306243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E32A556">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《学校卫生工作条例》第三十三条违反本条例第六条第一款、第七条和第十条规定的，由卫生行政部门对直接责任单位或者个人给予警告并责令限期改进。情节严重的，可以同时建议教育行政部门给予行政处分。</w:t>
      </w:r>
    </w:p>
    <w:p w14:paraId="4653507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kern w:val="0"/>
          <w:sz w:val="32"/>
          <w:szCs w:val="32"/>
        </w:rPr>
      </w:pPr>
      <w:r>
        <w:rPr>
          <w:rFonts w:hint="eastAsia" w:ascii="方正仿宋_GBK" w:hAnsi="方正仿宋_GBK" w:eastAsia="方正仿宋_GBK" w:cs="方正仿宋_GBK"/>
          <w:b/>
          <w:bCs w:val="0"/>
          <w:color w:val="auto"/>
          <w:sz w:val="32"/>
          <w:szCs w:val="32"/>
          <w:lang w:val="en-US" w:eastAsia="zh-CN"/>
        </w:rPr>
        <w:t>二、裁量权基准</w:t>
      </w:r>
    </w:p>
    <w:p w14:paraId="4A1AA513">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违反该案由的，由</w:t>
      </w:r>
      <w:r>
        <w:rPr>
          <w:rFonts w:hint="eastAsia" w:ascii="方正仿宋_GBK" w:hAnsi="方正仿宋_GBK" w:eastAsia="方正仿宋_GBK" w:cs="方正仿宋_GBK"/>
          <w:kern w:val="0"/>
          <w:sz w:val="32"/>
          <w:szCs w:val="32"/>
          <w:lang w:val="en-US" w:eastAsia="zh-CN"/>
        </w:rPr>
        <w:t>疾控</w:t>
      </w:r>
      <w:r>
        <w:rPr>
          <w:rFonts w:hint="eastAsia" w:ascii="方正仿宋_GBK" w:hAnsi="方正仿宋_GBK" w:eastAsia="方正仿宋_GBK" w:cs="方正仿宋_GBK"/>
          <w:kern w:val="0"/>
          <w:sz w:val="32"/>
          <w:szCs w:val="32"/>
        </w:rPr>
        <w:t>行政部门对直接责任单位或个人给予警告并责令限期改进。情节严重的，可以同时建议教育行政部门给予行政处分。</w:t>
      </w:r>
    </w:p>
    <w:p w14:paraId="0A478D93">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sz w:val="32"/>
          <w:szCs w:val="32"/>
        </w:rPr>
      </w:pPr>
    </w:p>
    <w:p w14:paraId="010B38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案由五：学校组织学生参加劳动，不符合相关要求，造成学生健康受到损害的</w:t>
      </w:r>
    </w:p>
    <w:p w14:paraId="57E238A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4FD8458F">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《学校卫生工作条例》第三十四条违反本条例第十一条规定，致使学生健康受到损害的，由卫生行政部门对直接责任单位或者个人给予警告，责令限期改进。</w:t>
      </w:r>
    </w:p>
    <w:p w14:paraId="35CB246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p w14:paraId="736B8D41">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lang w:eastAsia="zh-CN"/>
        </w:rPr>
      </w:pPr>
      <w:r>
        <w:rPr>
          <w:rFonts w:hint="eastAsia" w:ascii="方正仿宋_GBK" w:hAnsi="方正仿宋_GBK" w:eastAsia="方正仿宋_GBK" w:cs="方正仿宋_GBK"/>
          <w:kern w:val="0"/>
          <w:sz w:val="32"/>
          <w:szCs w:val="32"/>
        </w:rPr>
        <w:t>违反该案由的，由</w:t>
      </w:r>
      <w:r>
        <w:rPr>
          <w:rFonts w:hint="eastAsia" w:ascii="方正仿宋_GBK" w:hAnsi="方正仿宋_GBK" w:eastAsia="方正仿宋_GBK" w:cs="方正仿宋_GBK"/>
          <w:kern w:val="0"/>
          <w:sz w:val="32"/>
          <w:szCs w:val="32"/>
          <w:lang w:val="en-US" w:eastAsia="zh-CN"/>
        </w:rPr>
        <w:t>疾控</w:t>
      </w:r>
      <w:r>
        <w:rPr>
          <w:rFonts w:hint="eastAsia" w:ascii="方正仿宋_GBK" w:hAnsi="方正仿宋_GBK" w:eastAsia="方正仿宋_GBK" w:cs="方正仿宋_GBK"/>
          <w:kern w:val="0"/>
          <w:sz w:val="32"/>
          <w:szCs w:val="32"/>
        </w:rPr>
        <w:t>行政部门对直接责任单位或个人给予警告并责令限期改进。</w:t>
      </w:r>
    </w:p>
    <w:p w14:paraId="299A47EB">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sz w:val="32"/>
          <w:szCs w:val="32"/>
          <w:lang w:val="en-US" w:eastAsia="zh-CN"/>
        </w:rPr>
      </w:pPr>
    </w:p>
    <w:p w14:paraId="11E747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案由六：学校供学生使用的文具、娱乐器具、保健用品，不符合国家有关卫生标准的</w:t>
      </w:r>
    </w:p>
    <w:p w14:paraId="3C640E3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2B24BDD8">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五条违反本条例第二十七条规定的，由卫生行政部门对直接责任单位或者个人给予警告。情节严重的，可以会同工商行政部门没收其不符合国家有关卫生标准的物品，并处以非法所得两倍以下的罚款。</w:t>
      </w:r>
    </w:p>
    <w:p w14:paraId="483CDF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668"/>
        <w:gridCol w:w="3118"/>
        <w:gridCol w:w="3934"/>
      </w:tblGrid>
      <w:tr w14:paraId="7114F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top"/>
          </w:tcPr>
          <w:p w14:paraId="78FD6650">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裁量阶次</w:t>
            </w:r>
          </w:p>
        </w:tc>
        <w:tc>
          <w:tcPr>
            <w:tcW w:w="3118" w:type="dxa"/>
            <w:noWrap w:val="0"/>
            <w:vAlign w:val="top"/>
          </w:tcPr>
          <w:p w14:paraId="16FCAF7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适用条件</w:t>
            </w:r>
          </w:p>
        </w:tc>
        <w:tc>
          <w:tcPr>
            <w:tcW w:w="3934" w:type="dxa"/>
            <w:noWrap w:val="0"/>
            <w:vAlign w:val="top"/>
          </w:tcPr>
          <w:p w14:paraId="5379B928">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具体标准</w:t>
            </w:r>
          </w:p>
        </w:tc>
      </w:tr>
      <w:tr w14:paraId="6FF93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center"/>
          </w:tcPr>
          <w:p w14:paraId="0548814C">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情节较轻</w:t>
            </w:r>
          </w:p>
        </w:tc>
        <w:tc>
          <w:tcPr>
            <w:tcW w:w="3118" w:type="dxa"/>
            <w:noWrap w:val="0"/>
            <w:vAlign w:val="center"/>
          </w:tcPr>
          <w:p w14:paraId="6F209204">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i w:val="0"/>
                <w:iCs w:val="0"/>
                <w:caps w:val="0"/>
                <w:color w:val="444444"/>
                <w:spacing w:val="0"/>
                <w:sz w:val="28"/>
                <w:szCs w:val="28"/>
              </w:rPr>
              <w:t>　供学生使用的文具、娱乐器具、保健用品1-</w:t>
            </w:r>
            <w:r>
              <w:rPr>
                <w:rFonts w:hint="eastAsia" w:ascii="方正仿宋_GBK" w:hAnsi="方正仿宋_GBK" w:eastAsia="方正仿宋_GBK" w:cs="方正仿宋_GBK"/>
                <w:i w:val="0"/>
                <w:iCs w:val="0"/>
                <w:caps w:val="0"/>
                <w:color w:val="444444"/>
                <w:spacing w:val="0"/>
                <w:sz w:val="28"/>
                <w:szCs w:val="28"/>
                <w:lang w:val="en-US" w:eastAsia="zh-CN"/>
              </w:rPr>
              <w:t>2</w:t>
            </w:r>
            <w:r>
              <w:rPr>
                <w:rFonts w:hint="eastAsia" w:ascii="方正仿宋_GBK" w:hAnsi="方正仿宋_GBK" w:eastAsia="方正仿宋_GBK" w:cs="方正仿宋_GBK"/>
                <w:i w:val="0"/>
                <w:iCs w:val="0"/>
                <w:caps w:val="0"/>
                <w:color w:val="444444"/>
                <w:spacing w:val="0"/>
                <w:sz w:val="28"/>
                <w:szCs w:val="28"/>
              </w:rPr>
              <w:t>项指标不符合国家有关卫生标准，未造成学生人身损害后果的。</w:t>
            </w:r>
          </w:p>
        </w:tc>
        <w:tc>
          <w:tcPr>
            <w:tcW w:w="3934" w:type="dxa"/>
            <w:noWrap w:val="0"/>
            <w:vAlign w:val="center"/>
          </w:tcPr>
          <w:p w14:paraId="26695510">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p>
        </w:tc>
      </w:tr>
      <w:tr w14:paraId="4FF77E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center"/>
          </w:tcPr>
          <w:p w14:paraId="241791A1">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情节一般</w:t>
            </w:r>
          </w:p>
        </w:tc>
        <w:tc>
          <w:tcPr>
            <w:tcW w:w="3118" w:type="dxa"/>
            <w:noWrap w:val="0"/>
            <w:vAlign w:val="center"/>
          </w:tcPr>
          <w:p w14:paraId="7682F0D9">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i w:val="0"/>
                <w:iCs w:val="0"/>
                <w:caps w:val="0"/>
                <w:color w:val="444444"/>
                <w:spacing w:val="0"/>
                <w:sz w:val="28"/>
                <w:szCs w:val="28"/>
              </w:rPr>
              <w:t>供学生使用的文具、娱乐器具、保健用品</w:t>
            </w:r>
            <w:r>
              <w:rPr>
                <w:rFonts w:hint="eastAsia" w:ascii="方正仿宋_GBK" w:hAnsi="方正仿宋_GBK" w:eastAsia="方正仿宋_GBK" w:cs="方正仿宋_GBK"/>
                <w:i w:val="0"/>
                <w:iCs w:val="0"/>
                <w:caps w:val="0"/>
                <w:color w:val="444444"/>
                <w:spacing w:val="0"/>
                <w:sz w:val="28"/>
                <w:szCs w:val="28"/>
                <w:lang w:val="en-US" w:eastAsia="zh-CN"/>
              </w:rPr>
              <w:t>3</w:t>
            </w:r>
            <w:r>
              <w:rPr>
                <w:rFonts w:hint="eastAsia" w:ascii="方正仿宋_GBK" w:hAnsi="方正仿宋_GBK" w:eastAsia="方正仿宋_GBK" w:cs="方正仿宋_GBK"/>
                <w:i w:val="0"/>
                <w:iCs w:val="0"/>
                <w:caps w:val="0"/>
                <w:color w:val="444444"/>
                <w:spacing w:val="0"/>
                <w:sz w:val="28"/>
                <w:szCs w:val="28"/>
              </w:rPr>
              <w:t>项以上指标不符合国家有关卫生标准，未造成学生人身损害后果的。</w:t>
            </w:r>
          </w:p>
        </w:tc>
        <w:tc>
          <w:tcPr>
            <w:tcW w:w="3934" w:type="dxa"/>
            <w:noWrap w:val="0"/>
            <w:vAlign w:val="center"/>
          </w:tcPr>
          <w:p w14:paraId="1477B801">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i w:val="0"/>
                <w:iCs w:val="0"/>
                <w:caps w:val="0"/>
                <w:color w:val="444444"/>
                <w:spacing w:val="0"/>
                <w:sz w:val="28"/>
                <w:szCs w:val="28"/>
              </w:rPr>
              <w:t>警告；会同工商行政部门没收其不符合国家有关卫生标准的物品，并处以非法所得一倍以下的罚款。</w:t>
            </w:r>
          </w:p>
        </w:tc>
      </w:tr>
      <w:tr w14:paraId="56DF6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center"/>
          </w:tcPr>
          <w:p w14:paraId="38002EDC">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w:t>
            </w:r>
            <w:r>
              <w:rPr>
                <w:rFonts w:hint="eastAsia" w:ascii="方正仿宋_GBK" w:hAnsi="方正仿宋_GBK" w:eastAsia="方正仿宋_GBK" w:cs="方正仿宋_GBK"/>
                <w:kern w:val="0"/>
                <w:sz w:val="28"/>
                <w:szCs w:val="28"/>
                <w:lang w:val="en-US" w:eastAsia="zh-CN"/>
              </w:rPr>
              <w:t>较</w:t>
            </w:r>
            <w:r>
              <w:rPr>
                <w:rFonts w:hint="eastAsia" w:ascii="方正仿宋_GBK" w:hAnsi="方正仿宋_GBK" w:eastAsia="方正仿宋_GBK" w:cs="方正仿宋_GBK"/>
                <w:kern w:val="0"/>
                <w:sz w:val="28"/>
                <w:szCs w:val="28"/>
              </w:rPr>
              <w:t>重</w:t>
            </w:r>
          </w:p>
        </w:tc>
        <w:tc>
          <w:tcPr>
            <w:tcW w:w="3118" w:type="dxa"/>
            <w:noWrap w:val="0"/>
            <w:vAlign w:val="center"/>
          </w:tcPr>
          <w:p w14:paraId="68EA0E1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i w:val="0"/>
                <w:iCs w:val="0"/>
                <w:caps w:val="0"/>
                <w:color w:val="444444"/>
                <w:spacing w:val="0"/>
                <w:sz w:val="28"/>
                <w:szCs w:val="28"/>
              </w:rPr>
              <w:t>供学生使用的文具、娱乐器具、保健用品不符合国家有关卫生标准，造成学生人身损害后果的</w:t>
            </w:r>
            <w:r>
              <w:rPr>
                <w:rFonts w:hint="eastAsia" w:ascii="方正仿宋_GBK" w:hAnsi="方正仿宋_GBK" w:eastAsia="方正仿宋_GBK" w:cs="方正仿宋_GBK"/>
                <w:kern w:val="0"/>
                <w:sz w:val="28"/>
                <w:szCs w:val="28"/>
              </w:rPr>
              <w:t>，或引起较大社会负面影响的</w:t>
            </w:r>
          </w:p>
        </w:tc>
        <w:tc>
          <w:tcPr>
            <w:tcW w:w="3934" w:type="dxa"/>
            <w:noWrap w:val="0"/>
            <w:vAlign w:val="center"/>
          </w:tcPr>
          <w:p w14:paraId="7E8D708B">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会同工商行政部门没收其不符合国家有关卫生标准的物品，并处以非法所得</w:t>
            </w:r>
            <w:r>
              <w:rPr>
                <w:rFonts w:hint="eastAsia" w:ascii="方正仿宋_GBK" w:hAnsi="方正仿宋_GBK" w:eastAsia="方正仿宋_GBK" w:cs="方正仿宋_GBK"/>
                <w:kern w:val="0"/>
                <w:sz w:val="28"/>
                <w:szCs w:val="28"/>
                <w:lang w:val="en-US" w:eastAsia="zh-CN"/>
              </w:rPr>
              <w:t>一倍以上</w:t>
            </w:r>
            <w:r>
              <w:rPr>
                <w:rFonts w:hint="eastAsia" w:ascii="方正仿宋_GBK" w:hAnsi="方正仿宋_GBK" w:eastAsia="方正仿宋_GBK" w:cs="方正仿宋_GBK"/>
                <w:kern w:val="0"/>
                <w:sz w:val="28"/>
                <w:szCs w:val="28"/>
              </w:rPr>
              <w:t>两倍以下的罚款</w:t>
            </w:r>
          </w:p>
        </w:tc>
      </w:tr>
    </w:tbl>
    <w:p w14:paraId="7D2B00E4">
      <w:pPr>
        <w:autoSpaceDE w:val="0"/>
        <w:autoSpaceDN w:val="0"/>
        <w:adjustRightInd w:val="0"/>
        <w:snapToGrid w:val="0"/>
        <w:ind w:firstLine="565" w:firstLineChars="202"/>
        <w:jc w:val="left"/>
        <w:rPr>
          <w:rFonts w:ascii="仿宋" w:hAnsi="仿宋" w:eastAsia="仿宋" w:cs="Times New Roman"/>
          <w:sz w:val="28"/>
          <w:szCs w:val="28"/>
        </w:rPr>
      </w:pPr>
    </w:p>
    <w:p w14:paraId="4B9CB94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案由七：学校拒绝或者妨碍学校卫生监督员依照本条例实施卫生监督的</w:t>
      </w:r>
    </w:p>
    <w:p w14:paraId="5A713EA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7B760F8">
      <w:pPr>
        <w:keepNext w:val="0"/>
        <w:keepLines w:val="0"/>
        <w:pageBreakBefore w:val="0"/>
        <w:widowControl w:val="0"/>
        <w:kinsoku/>
        <w:wordWrap/>
        <w:overflowPunct/>
        <w:topLinePunct w:val="0"/>
        <w:autoSpaceDE w:val="0"/>
        <w:autoSpaceDN w:val="0"/>
        <w:bidi w:val="0"/>
        <w:adjustRightInd w:val="0"/>
        <w:snapToGrid w:val="0"/>
        <w:spacing w:line="560" w:lineRule="exact"/>
        <w:ind w:firstLine="646" w:firstLineChars="202"/>
        <w:jc w:val="left"/>
        <w:textAlignment w:val="auto"/>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学校卫生工作条例》第三十六条，拒绝或者妨碍学校卫生监督员依照本条例实施卫生监督的，由卫生行政部门对直接责任单位或者个人给予警告。情节严重的，可以建议教育行政部门给予行政处分或者处以二百元以下的罚款。</w:t>
      </w:r>
    </w:p>
    <w:p w14:paraId="13BE574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668"/>
        <w:gridCol w:w="3118"/>
        <w:gridCol w:w="3934"/>
      </w:tblGrid>
      <w:tr w14:paraId="12D26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668" w:type="dxa"/>
            <w:noWrap w:val="0"/>
            <w:vAlign w:val="top"/>
          </w:tcPr>
          <w:p w14:paraId="6D05F121">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裁量阶次</w:t>
            </w:r>
          </w:p>
        </w:tc>
        <w:tc>
          <w:tcPr>
            <w:tcW w:w="3118" w:type="dxa"/>
            <w:noWrap w:val="0"/>
            <w:vAlign w:val="top"/>
          </w:tcPr>
          <w:p w14:paraId="6CCEF7CB">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适用条件</w:t>
            </w:r>
          </w:p>
        </w:tc>
        <w:tc>
          <w:tcPr>
            <w:tcW w:w="3934" w:type="dxa"/>
            <w:noWrap w:val="0"/>
            <w:vAlign w:val="top"/>
          </w:tcPr>
          <w:p w14:paraId="23855FE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方正楷体_GBK" w:hAnsi="方正楷体_GBK" w:eastAsia="方正楷体_GBK" w:cs="方正楷体_GBK"/>
                <w:kern w:val="0"/>
                <w:sz w:val="28"/>
                <w:szCs w:val="28"/>
              </w:rPr>
            </w:pPr>
            <w:r>
              <w:rPr>
                <w:rFonts w:hint="eastAsia" w:ascii="方正楷体_GBK" w:hAnsi="方正楷体_GBK" w:eastAsia="方正楷体_GBK" w:cs="方正楷体_GBK"/>
                <w:kern w:val="0"/>
                <w:sz w:val="28"/>
                <w:szCs w:val="28"/>
              </w:rPr>
              <w:t>具体标准</w:t>
            </w:r>
          </w:p>
        </w:tc>
      </w:tr>
      <w:tr w14:paraId="174FE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center"/>
          </w:tcPr>
          <w:p w14:paraId="00FE2CAD">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情节一般</w:t>
            </w:r>
          </w:p>
        </w:tc>
        <w:tc>
          <w:tcPr>
            <w:tcW w:w="3118" w:type="dxa"/>
            <w:noWrap w:val="0"/>
            <w:vAlign w:val="center"/>
          </w:tcPr>
          <w:p w14:paraId="6540547A">
            <w:pPr>
              <w:keepNext w:val="0"/>
              <w:keepLines w:val="0"/>
              <w:pageBreakBefore w:val="0"/>
              <w:widowControl w:val="0"/>
              <w:kinsoku/>
              <w:wordWrap/>
              <w:overflowPunct/>
              <w:topLinePunct w:val="0"/>
              <w:bidi w:val="0"/>
              <w:spacing w:line="400" w:lineRule="exact"/>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首次拒绝或者妨碍卫生监督的</w:t>
            </w:r>
          </w:p>
        </w:tc>
        <w:tc>
          <w:tcPr>
            <w:tcW w:w="3934" w:type="dxa"/>
            <w:noWrap w:val="0"/>
            <w:vAlign w:val="center"/>
          </w:tcPr>
          <w:p w14:paraId="5D7A3B1E">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警告</w:t>
            </w:r>
          </w:p>
        </w:tc>
      </w:tr>
      <w:tr w14:paraId="488CF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68" w:type="dxa"/>
            <w:noWrap w:val="0"/>
            <w:vAlign w:val="center"/>
          </w:tcPr>
          <w:p w14:paraId="234961CD">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情节</w:t>
            </w:r>
            <w:r>
              <w:rPr>
                <w:rFonts w:hint="eastAsia" w:ascii="方正仿宋_GBK" w:hAnsi="方正仿宋_GBK" w:eastAsia="方正仿宋_GBK" w:cs="方正仿宋_GBK"/>
                <w:kern w:val="0"/>
                <w:sz w:val="28"/>
                <w:szCs w:val="28"/>
                <w:lang w:val="en-US" w:eastAsia="zh-CN"/>
              </w:rPr>
              <w:t>较</w:t>
            </w:r>
            <w:r>
              <w:rPr>
                <w:rFonts w:hint="eastAsia" w:ascii="方正仿宋_GBK" w:hAnsi="方正仿宋_GBK" w:eastAsia="方正仿宋_GBK" w:cs="方正仿宋_GBK"/>
                <w:kern w:val="0"/>
                <w:sz w:val="28"/>
                <w:szCs w:val="28"/>
              </w:rPr>
              <w:t>重</w:t>
            </w:r>
          </w:p>
        </w:tc>
        <w:tc>
          <w:tcPr>
            <w:tcW w:w="3118" w:type="dxa"/>
            <w:noWrap w:val="0"/>
            <w:vAlign w:val="center"/>
          </w:tcPr>
          <w:p w14:paraId="07499C8C">
            <w:pPr>
              <w:keepNext w:val="0"/>
              <w:keepLines w:val="0"/>
              <w:pageBreakBefore w:val="0"/>
              <w:widowControl w:val="0"/>
              <w:kinsoku/>
              <w:wordWrap/>
              <w:overflowPunct/>
              <w:topLinePunct w:val="0"/>
              <w:autoSpaceDE w:val="0"/>
              <w:autoSpaceDN w:val="0"/>
              <w:bidi w:val="0"/>
              <w:adjustRightInd w:val="0"/>
              <w:snapToGrid w:val="0"/>
              <w:spacing w:line="400" w:lineRule="exact"/>
              <w:jc w:val="both"/>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lang w:val="en-US" w:eastAsia="zh-CN" w:bidi="ar-SA"/>
              </w:rPr>
              <w:t>二次及以上拒绝或者妨碍卫生监督的</w:t>
            </w:r>
          </w:p>
        </w:tc>
        <w:tc>
          <w:tcPr>
            <w:tcW w:w="3934" w:type="dxa"/>
            <w:noWrap w:val="0"/>
            <w:vAlign w:val="center"/>
          </w:tcPr>
          <w:p w14:paraId="0A4BD652">
            <w:pPr>
              <w:keepNext w:val="0"/>
              <w:keepLines w:val="0"/>
              <w:pageBreakBefore w:val="0"/>
              <w:widowControl w:val="0"/>
              <w:kinsoku/>
              <w:wordWrap/>
              <w:overflowPunct/>
              <w:topLinePunct w:val="0"/>
              <w:autoSpaceDE w:val="0"/>
              <w:autoSpaceDN w:val="0"/>
              <w:bidi w:val="0"/>
              <w:adjustRightInd w:val="0"/>
              <w:snapToGrid w:val="0"/>
              <w:spacing w:line="400" w:lineRule="exac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建议教育行政部门给予行政处分或者处以二百元以下的罚款</w:t>
            </w:r>
          </w:p>
        </w:tc>
      </w:tr>
    </w:tbl>
    <w:p w14:paraId="7ED89C15">
      <w:pPr>
        <w:spacing w:line="560" w:lineRule="exact"/>
        <w:jc w:val="both"/>
        <w:rPr>
          <w:rFonts w:hint="eastAsia" w:ascii="方正小标宋_GBK" w:hAnsi="方正小标宋_GBK" w:eastAsia="方正小标宋_GBK" w:cs="方正小标宋_GBK"/>
          <w:color w:val="auto"/>
          <w:sz w:val="44"/>
          <w:szCs w:val="44"/>
          <w:lang w:eastAsia="zh-CN"/>
        </w:rPr>
      </w:pPr>
    </w:p>
    <w:p w14:paraId="3308041D">
      <w:pPr>
        <w:spacing w:line="560" w:lineRule="exact"/>
        <w:jc w:val="center"/>
        <w:rPr>
          <w:rFonts w:hint="eastAsia"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lang w:val="en-US" w:eastAsia="zh-CN"/>
        </w:rPr>
        <w:t>四、</w:t>
      </w:r>
      <w:r>
        <w:rPr>
          <w:rFonts w:hint="eastAsia" w:ascii="方正黑体_GBK" w:hAnsi="方正黑体_GBK" w:eastAsia="方正黑体_GBK" w:cs="方正黑体_GBK"/>
          <w:color w:val="auto"/>
          <w:sz w:val="32"/>
          <w:szCs w:val="32"/>
        </w:rPr>
        <w:t>《江苏省生活饮用水卫生监督条例》</w:t>
      </w:r>
    </w:p>
    <w:p w14:paraId="1CDE5AD8">
      <w:pPr>
        <w:spacing w:line="560" w:lineRule="exact"/>
        <w:ind w:firstLine="640" w:firstLineChars="200"/>
        <w:rPr>
          <w:rFonts w:hint="eastAsia" w:ascii="Times New Roman" w:hAnsi="Times New Roman" w:eastAsia="黑体"/>
          <w:color w:val="auto"/>
          <w:sz w:val="32"/>
          <w:szCs w:val="32"/>
          <w:lang w:val="en-US" w:eastAsia="zh-CN"/>
        </w:rPr>
      </w:pPr>
    </w:p>
    <w:p w14:paraId="0C45237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案由一：</w:t>
      </w:r>
      <w:r>
        <w:rPr>
          <w:rFonts w:hint="eastAsia" w:ascii="方正楷体_GBK" w:hAnsi="方正楷体_GBK" w:eastAsia="方正楷体_GBK" w:cs="方正楷体_GBK"/>
          <w:color w:val="auto"/>
          <w:sz w:val="32"/>
          <w:szCs w:val="32"/>
        </w:rPr>
        <w:t>安排未取得健康合格证明的人员直接从事水质处理器、滤芯及其组件的生产、维护的</w:t>
      </w:r>
    </w:p>
    <w:p w14:paraId="03D19099">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773D5E6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三条第一项规定：“违反本条例规定，有下列情形之一的，由卫生健康（疾病预防控制）部门责令改正，予以警告，并可以处五百元以上五千元以下罚款：（一）安排未取得健康合格证明的人员直接从事供、管水工作以及水质处理器、滤芯及其组件的生产、维护的；”</w:t>
      </w:r>
    </w:p>
    <w:p w14:paraId="6290D51F">
      <w:pPr>
        <w:keepNext w:val="0"/>
        <w:keepLines w:val="0"/>
        <w:pageBreakBefore w:val="0"/>
        <w:widowControl w:val="0"/>
        <w:numPr>
          <w:ilvl w:val="0"/>
          <w:numId w:val="3"/>
        </w:numPr>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裁量权基准</w:t>
      </w:r>
    </w:p>
    <w:tbl>
      <w:tblPr>
        <w:tblStyle w:val="6"/>
        <w:tblW w:w="8780" w:type="dxa"/>
        <w:jc w:val="center"/>
        <w:tblLayout w:type="fixed"/>
        <w:tblCellMar>
          <w:top w:w="0" w:type="dxa"/>
          <w:left w:w="108" w:type="dxa"/>
          <w:bottom w:w="0" w:type="dxa"/>
          <w:right w:w="108" w:type="dxa"/>
        </w:tblCellMar>
      </w:tblPr>
      <w:tblGrid>
        <w:gridCol w:w="1422"/>
        <w:gridCol w:w="4738"/>
        <w:gridCol w:w="2620"/>
      </w:tblGrid>
      <w:tr w14:paraId="6E1A1ABA">
        <w:tblPrEx>
          <w:tblCellMar>
            <w:top w:w="0" w:type="dxa"/>
            <w:left w:w="108" w:type="dxa"/>
            <w:bottom w:w="0" w:type="dxa"/>
            <w:right w:w="108" w:type="dxa"/>
          </w:tblCellMar>
        </w:tblPrEx>
        <w:trPr>
          <w:trHeight w:val="525" w:hRule="atLeast"/>
          <w:jc w:val="center"/>
        </w:trPr>
        <w:tc>
          <w:tcPr>
            <w:tcW w:w="1422" w:type="dxa"/>
            <w:tcBorders>
              <w:top w:val="single" w:color="auto" w:sz="4" w:space="0"/>
              <w:left w:val="single" w:color="auto" w:sz="4" w:space="0"/>
              <w:bottom w:val="nil"/>
              <w:right w:val="single" w:color="auto" w:sz="4" w:space="0"/>
            </w:tcBorders>
            <w:noWrap/>
            <w:vAlign w:val="center"/>
          </w:tcPr>
          <w:p w14:paraId="03FEF152">
            <w:pPr>
              <w:widowControl/>
              <w:jc w:val="center"/>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38" w:type="dxa"/>
            <w:tcBorders>
              <w:top w:val="single" w:color="auto" w:sz="4" w:space="0"/>
              <w:left w:val="nil"/>
              <w:bottom w:val="single" w:color="auto" w:sz="4" w:space="0"/>
              <w:right w:val="single" w:color="000000" w:sz="4" w:space="0"/>
            </w:tcBorders>
            <w:noWrap/>
            <w:vAlign w:val="center"/>
          </w:tcPr>
          <w:p w14:paraId="241D1192">
            <w:pPr>
              <w:widowControl/>
              <w:ind w:firstLine="480"/>
              <w:jc w:val="center"/>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620" w:type="dxa"/>
            <w:tcBorders>
              <w:top w:val="single" w:color="auto" w:sz="4" w:space="0"/>
              <w:left w:val="nil"/>
              <w:bottom w:val="nil"/>
              <w:right w:val="single" w:color="auto" w:sz="4" w:space="0"/>
            </w:tcBorders>
            <w:noWrap w:val="0"/>
            <w:vAlign w:val="center"/>
          </w:tcPr>
          <w:p w14:paraId="5A3B481C">
            <w:pPr>
              <w:widowControl/>
              <w:ind w:firstLine="480"/>
              <w:jc w:val="center"/>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0A578FAB">
        <w:tblPrEx>
          <w:tblCellMar>
            <w:top w:w="0" w:type="dxa"/>
            <w:left w:w="108" w:type="dxa"/>
            <w:bottom w:w="0" w:type="dxa"/>
            <w:right w:w="108" w:type="dxa"/>
          </w:tblCellMar>
        </w:tblPrEx>
        <w:trPr>
          <w:trHeight w:val="495" w:hRule="atLeast"/>
          <w:jc w:val="center"/>
        </w:trPr>
        <w:tc>
          <w:tcPr>
            <w:tcW w:w="1422" w:type="dxa"/>
            <w:tcBorders>
              <w:top w:val="single" w:color="auto" w:sz="4" w:space="0"/>
              <w:left w:val="single" w:color="auto" w:sz="4" w:space="0"/>
              <w:bottom w:val="single" w:color="auto" w:sz="4" w:space="0"/>
              <w:right w:val="single" w:color="auto" w:sz="4" w:space="0"/>
            </w:tcBorders>
            <w:noWrap w:val="0"/>
            <w:vAlign w:val="center"/>
          </w:tcPr>
          <w:p w14:paraId="4F9500D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rPr>
              <w:t>情节</w:t>
            </w:r>
            <w:r>
              <w:rPr>
                <w:rFonts w:hint="eastAsia" w:ascii="方正仿宋_GBK" w:hAnsi="方正仿宋_GBK" w:eastAsia="方正仿宋_GBK" w:cs="方正仿宋_GBK"/>
                <w:color w:val="auto"/>
                <w:kern w:val="0"/>
                <w:sz w:val="28"/>
                <w:szCs w:val="28"/>
                <w:lang w:val="en-US" w:eastAsia="zh-CN"/>
              </w:rPr>
              <w:t>轻微</w:t>
            </w:r>
          </w:p>
        </w:tc>
        <w:tc>
          <w:tcPr>
            <w:tcW w:w="4738" w:type="dxa"/>
            <w:tcBorders>
              <w:top w:val="single" w:color="auto" w:sz="4" w:space="0"/>
              <w:left w:val="nil"/>
              <w:bottom w:val="single" w:color="auto" w:sz="4" w:space="0"/>
              <w:right w:val="single" w:color="000000" w:sz="4" w:space="0"/>
            </w:tcBorders>
            <w:noWrap w:val="0"/>
            <w:vAlign w:val="center"/>
          </w:tcPr>
          <w:p w14:paraId="0A1E3BD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首次发现安排未取得健康合格证明直接从事供、管水工作以及水质处理器、滤芯及其组件的生产、维护</w:t>
            </w:r>
            <w:r>
              <w:rPr>
                <w:rFonts w:hint="eastAsia" w:ascii="方正仿宋_GBK" w:hAnsi="方正仿宋_GBK" w:eastAsia="方正仿宋_GBK" w:cs="方正仿宋_GBK"/>
                <w:color w:val="auto"/>
                <w:kern w:val="0"/>
                <w:sz w:val="28"/>
                <w:szCs w:val="28"/>
                <w:lang w:val="en-US" w:eastAsia="zh-CN"/>
              </w:rPr>
              <w:t>的</w:t>
            </w:r>
            <w:r>
              <w:rPr>
                <w:rFonts w:hint="eastAsia" w:ascii="方正仿宋_GBK" w:hAnsi="方正仿宋_GBK" w:eastAsia="方正仿宋_GBK" w:cs="方正仿宋_GBK"/>
                <w:color w:val="auto"/>
                <w:kern w:val="0"/>
                <w:sz w:val="28"/>
                <w:szCs w:val="28"/>
              </w:rPr>
              <w:t>人员</w:t>
            </w:r>
            <w:r>
              <w:rPr>
                <w:rFonts w:hint="eastAsia" w:ascii="方正仿宋_GBK" w:hAnsi="方正仿宋_GBK" w:eastAsia="方正仿宋_GBK" w:cs="方正仿宋_GBK"/>
                <w:color w:val="auto"/>
                <w:kern w:val="0"/>
                <w:sz w:val="28"/>
                <w:szCs w:val="28"/>
                <w:lang w:val="en-US" w:eastAsia="zh-CN"/>
              </w:rPr>
              <w:t>1人</w:t>
            </w:r>
            <w:r>
              <w:rPr>
                <w:rFonts w:hint="eastAsia" w:ascii="方正仿宋_GBK" w:hAnsi="方正仿宋_GBK" w:eastAsia="方正仿宋_GBK" w:cs="方正仿宋_GBK"/>
                <w:color w:val="auto"/>
                <w:kern w:val="0"/>
                <w:sz w:val="28"/>
                <w:szCs w:val="28"/>
              </w:rPr>
              <w:t>的，</w:t>
            </w:r>
            <w:r>
              <w:rPr>
                <w:rFonts w:hint="eastAsia" w:ascii="方正仿宋_GBK" w:hAnsi="方正仿宋_GBK" w:eastAsia="方正仿宋_GBK" w:cs="方正仿宋_GBK"/>
                <w:color w:val="auto"/>
                <w:kern w:val="0"/>
                <w:sz w:val="28"/>
                <w:szCs w:val="28"/>
                <w:lang w:val="en-US" w:eastAsia="zh-CN"/>
              </w:rPr>
              <w:t>经责令改正后能及时改正的</w:t>
            </w:r>
          </w:p>
        </w:tc>
        <w:tc>
          <w:tcPr>
            <w:tcW w:w="2620" w:type="dxa"/>
            <w:tcBorders>
              <w:top w:val="single" w:color="auto" w:sz="4" w:space="0"/>
              <w:left w:val="nil"/>
              <w:bottom w:val="single" w:color="auto" w:sz="4" w:space="0"/>
              <w:right w:val="single" w:color="auto" w:sz="4" w:space="0"/>
            </w:tcBorders>
            <w:noWrap w:val="0"/>
            <w:vAlign w:val="center"/>
          </w:tcPr>
          <w:p w14:paraId="2D8D938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w:t>
            </w:r>
          </w:p>
        </w:tc>
      </w:tr>
      <w:tr w14:paraId="445AB10B">
        <w:tblPrEx>
          <w:tblCellMar>
            <w:top w:w="0" w:type="dxa"/>
            <w:left w:w="108" w:type="dxa"/>
            <w:bottom w:w="0" w:type="dxa"/>
            <w:right w:w="108" w:type="dxa"/>
          </w:tblCellMar>
        </w:tblPrEx>
        <w:trPr>
          <w:trHeight w:val="495" w:hRule="atLeast"/>
          <w:jc w:val="center"/>
        </w:trPr>
        <w:tc>
          <w:tcPr>
            <w:tcW w:w="1422" w:type="dxa"/>
            <w:tcBorders>
              <w:top w:val="single" w:color="auto" w:sz="4" w:space="0"/>
              <w:left w:val="single" w:color="auto" w:sz="4" w:space="0"/>
              <w:bottom w:val="single" w:color="auto" w:sz="4" w:space="0"/>
              <w:right w:val="single" w:color="auto" w:sz="4" w:space="0"/>
            </w:tcBorders>
            <w:noWrap w:val="0"/>
            <w:vAlign w:val="center"/>
          </w:tcPr>
          <w:p w14:paraId="38E83EC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738" w:type="dxa"/>
            <w:tcBorders>
              <w:top w:val="single" w:color="auto" w:sz="4" w:space="0"/>
              <w:left w:val="nil"/>
              <w:bottom w:val="single" w:color="auto" w:sz="4" w:space="0"/>
              <w:right w:val="single" w:color="000000" w:sz="4" w:space="0"/>
            </w:tcBorders>
            <w:noWrap w:val="0"/>
            <w:vAlign w:val="center"/>
          </w:tcPr>
          <w:p w14:paraId="46B5B30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安排未取得健康合格证明直接从事供、管水工作以及水质处理器、滤芯及其组件的生产、维护</w:t>
            </w:r>
            <w:r>
              <w:rPr>
                <w:rFonts w:hint="eastAsia" w:ascii="方正仿宋_GBK" w:hAnsi="方正仿宋_GBK" w:eastAsia="方正仿宋_GBK" w:cs="方正仿宋_GBK"/>
                <w:color w:val="auto"/>
                <w:kern w:val="0"/>
                <w:sz w:val="28"/>
                <w:szCs w:val="28"/>
                <w:lang w:val="en-US" w:eastAsia="zh-CN"/>
              </w:rPr>
              <w:t>的</w:t>
            </w:r>
            <w:r>
              <w:rPr>
                <w:rFonts w:hint="eastAsia" w:ascii="方正仿宋_GBK" w:hAnsi="方正仿宋_GBK" w:eastAsia="方正仿宋_GBK" w:cs="方正仿宋_GBK"/>
                <w:color w:val="auto"/>
                <w:kern w:val="0"/>
                <w:sz w:val="28"/>
                <w:szCs w:val="28"/>
              </w:rPr>
              <w:t>人员总数</w:t>
            </w:r>
            <w:r>
              <w:rPr>
                <w:rFonts w:hint="eastAsia" w:ascii="方正仿宋_GBK" w:hAnsi="方正仿宋_GBK" w:eastAsia="方正仿宋_GBK" w:cs="方正仿宋_GBK"/>
                <w:color w:val="auto"/>
                <w:kern w:val="0"/>
                <w:sz w:val="28"/>
                <w:szCs w:val="28"/>
                <w:lang w:val="en-US" w:eastAsia="zh-CN"/>
              </w:rPr>
              <w:t>2-3人</w:t>
            </w:r>
            <w:r>
              <w:rPr>
                <w:rFonts w:hint="eastAsia" w:ascii="方正仿宋_GBK" w:hAnsi="方正仿宋_GBK" w:eastAsia="方正仿宋_GBK" w:cs="方正仿宋_GBK"/>
                <w:color w:val="auto"/>
                <w:kern w:val="0"/>
                <w:sz w:val="28"/>
                <w:szCs w:val="28"/>
              </w:rPr>
              <w:t>的</w:t>
            </w:r>
          </w:p>
        </w:tc>
        <w:tc>
          <w:tcPr>
            <w:tcW w:w="2620" w:type="dxa"/>
            <w:tcBorders>
              <w:top w:val="single" w:color="auto" w:sz="4" w:space="0"/>
              <w:left w:val="nil"/>
              <w:bottom w:val="single" w:color="auto" w:sz="4" w:space="0"/>
              <w:right w:val="single" w:color="auto" w:sz="4" w:space="0"/>
            </w:tcBorders>
            <w:noWrap w:val="0"/>
            <w:vAlign w:val="center"/>
          </w:tcPr>
          <w:p w14:paraId="3160955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警告，500元≤罚款＜18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36E7CC6D">
        <w:tblPrEx>
          <w:tblCellMar>
            <w:top w:w="0" w:type="dxa"/>
            <w:left w:w="108" w:type="dxa"/>
            <w:bottom w:w="0" w:type="dxa"/>
            <w:right w:w="108" w:type="dxa"/>
          </w:tblCellMar>
        </w:tblPrEx>
        <w:trPr>
          <w:trHeight w:val="495" w:hRule="atLeast"/>
          <w:jc w:val="center"/>
        </w:trPr>
        <w:tc>
          <w:tcPr>
            <w:tcW w:w="1422" w:type="dxa"/>
            <w:tcBorders>
              <w:top w:val="single" w:color="auto" w:sz="4" w:space="0"/>
              <w:left w:val="single" w:color="auto" w:sz="4" w:space="0"/>
              <w:bottom w:val="single" w:color="auto" w:sz="4" w:space="0"/>
              <w:right w:val="single" w:color="auto" w:sz="4" w:space="0"/>
            </w:tcBorders>
            <w:noWrap w:val="0"/>
            <w:vAlign w:val="center"/>
          </w:tcPr>
          <w:p w14:paraId="5ABFF19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738" w:type="dxa"/>
            <w:tcBorders>
              <w:top w:val="single" w:color="auto" w:sz="4" w:space="0"/>
              <w:left w:val="nil"/>
              <w:bottom w:val="single" w:color="auto" w:sz="4" w:space="0"/>
              <w:right w:val="single" w:color="000000" w:sz="4" w:space="0"/>
            </w:tcBorders>
            <w:noWrap w:val="0"/>
            <w:vAlign w:val="center"/>
          </w:tcPr>
          <w:p w14:paraId="1D64C40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安排未取得健康合格证明直接从事供、管水工作以及水质处理器、滤芯及其组件的生产、维护人员</w:t>
            </w:r>
            <w:r>
              <w:rPr>
                <w:rFonts w:hint="eastAsia" w:ascii="方正仿宋_GBK" w:hAnsi="方正仿宋_GBK" w:eastAsia="方正仿宋_GBK" w:cs="方正仿宋_GBK"/>
                <w:color w:val="auto"/>
                <w:kern w:val="0"/>
                <w:sz w:val="28"/>
                <w:szCs w:val="28"/>
                <w:lang w:val="en-US" w:eastAsia="zh-CN"/>
              </w:rPr>
              <w:t>4-5人</w:t>
            </w:r>
            <w:r>
              <w:rPr>
                <w:rFonts w:hint="eastAsia" w:ascii="方正仿宋_GBK" w:hAnsi="方正仿宋_GBK" w:eastAsia="方正仿宋_GBK" w:cs="方正仿宋_GBK"/>
                <w:color w:val="auto"/>
                <w:kern w:val="0"/>
                <w:sz w:val="28"/>
                <w:szCs w:val="28"/>
              </w:rPr>
              <w:t>的</w:t>
            </w:r>
          </w:p>
        </w:tc>
        <w:tc>
          <w:tcPr>
            <w:tcW w:w="2620" w:type="dxa"/>
            <w:tcBorders>
              <w:top w:val="single" w:color="auto" w:sz="4" w:space="0"/>
              <w:left w:val="nil"/>
              <w:bottom w:val="single" w:color="auto" w:sz="4" w:space="0"/>
              <w:right w:val="single" w:color="auto" w:sz="4" w:space="0"/>
            </w:tcBorders>
            <w:noWrap w:val="0"/>
            <w:vAlign w:val="center"/>
          </w:tcPr>
          <w:p w14:paraId="3E34C13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7D3D1F62">
        <w:tblPrEx>
          <w:tblCellMar>
            <w:top w:w="0" w:type="dxa"/>
            <w:left w:w="108" w:type="dxa"/>
            <w:bottom w:w="0" w:type="dxa"/>
            <w:right w:w="108" w:type="dxa"/>
          </w:tblCellMar>
        </w:tblPrEx>
        <w:trPr>
          <w:trHeight w:val="525" w:hRule="atLeast"/>
          <w:jc w:val="center"/>
        </w:trPr>
        <w:tc>
          <w:tcPr>
            <w:tcW w:w="1422" w:type="dxa"/>
            <w:tcBorders>
              <w:top w:val="nil"/>
              <w:left w:val="single" w:color="auto" w:sz="4" w:space="0"/>
              <w:bottom w:val="single" w:color="auto" w:sz="4" w:space="0"/>
              <w:right w:val="single" w:color="auto" w:sz="4" w:space="0"/>
            </w:tcBorders>
            <w:noWrap w:val="0"/>
            <w:vAlign w:val="center"/>
          </w:tcPr>
          <w:p w14:paraId="0DF0DA3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738" w:type="dxa"/>
            <w:tcBorders>
              <w:top w:val="single" w:color="auto" w:sz="4" w:space="0"/>
              <w:left w:val="nil"/>
              <w:bottom w:val="single" w:color="auto" w:sz="4" w:space="0"/>
              <w:right w:val="single" w:color="000000" w:sz="4" w:space="0"/>
            </w:tcBorders>
            <w:noWrap w:val="0"/>
            <w:vAlign w:val="center"/>
          </w:tcPr>
          <w:p w14:paraId="3D8A64D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安排未取得健康合格证明直接从事供、管水工作以及水质处理器、滤芯及其组件的生产、维护人员</w:t>
            </w:r>
            <w:r>
              <w:rPr>
                <w:rFonts w:hint="eastAsia" w:ascii="方正仿宋_GBK" w:hAnsi="方正仿宋_GBK" w:eastAsia="方正仿宋_GBK" w:cs="方正仿宋_GBK"/>
                <w:color w:val="auto"/>
                <w:kern w:val="0"/>
                <w:sz w:val="28"/>
                <w:szCs w:val="28"/>
                <w:lang w:val="en-US" w:eastAsia="zh-CN"/>
              </w:rPr>
              <w:t>6人及以上</w:t>
            </w:r>
            <w:r>
              <w:rPr>
                <w:rFonts w:hint="eastAsia" w:ascii="方正仿宋_GBK" w:hAnsi="方正仿宋_GBK" w:eastAsia="方正仿宋_GBK" w:cs="方正仿宋_GBK"/>
                <w:color w:val="auto"/>
                <w:kern w:val="0"/>
                <w:sz w:val="28"/>
                <w:szCs w:val="28"/>
              </w:rPr>
              <w:t>的</w:t>
            </w:r>
          </w:p>
        </w:tc>
        <w:tc>
          <w:tcPr>
            <w:tcW w:w="2620" w:type="dxa"/>
            <w:tcBorders>
              <w:top w:val="nil"/>
              <w:left w:val="nil"/>
              <w:bottom w:val="single" w:color="auto" w:sz="4" w:space="0"/>
              <w:right w:val="single" w:color="auto" w:sz="4" w:space="0"/>
            </w:tcBorders>
            <w:noWrap w:val="0"/>
            <w:vAlign w:val="center"/>
          </w:tcPr>
          <w:p w14:paraId="25419A4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0元≤罚款≤5000元</w:t>
            </w:r>
          </w:p>
        </w:tc>
      </w:tr>
    </w:tbl>
    <w:p w14:paraId="7856BE82">
      <w:pPr>
        <w:spacing w:line="560" w:lineRule="exact"/>
        <w:ind w:firstLine="640" w:firstLineChars="200"/>
        <w:rPr>
          <w:rFonts w:ascii="Times New Roman" w:hAnsi="Times New Roman" w:eastAsia="仿宋_GB2312"/>
          <w:color w:val="auto"/>
          <w:sz w:val="32"/>
          <w:szCs w:val="32"/>
        </w:rPr>
      </w:pPr>
    </w:p>
    <w:p w14:paraId="51F2257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案由二</w:t>
      </w:r>
      <w:r>
        <w:rPr>
          <w:rFonts w:hint="eastAsia" w:ascii="方正楷体_GBK" w:hAnsi="方正楷体_GBK" w:eastAsia="方正楷体_GBK" w:cs="方正楷体_GBK"/>
          <w:color w:val="auto"/>
          <w:sz w:val="32"/>
          <w:szCs w:val="32"/>
        </w:rPr>
        <w:t>：涉水产品标签、说明书未按照规定标注技术参数的</w:t>
      </w:r>
    </w:p>
    <w:p w14:paraId="238519BF">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3A5B24C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三条第二项规定：“违反本条例规定，有下列情形之一的，由卫生健康（疾病预防控制）部门责令改正，予以警告，并可以处五百元以上五千元以下罚款：（二）涉水产品标签、说明书未按照规定标注技术参数的；”</w:t>
      </w:r>
    </w:p>
    <w:p w14:paraId="0B6FF884">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lang w:val="en-US" w:eastAsia="zh-CN"/>
        </w:rPr>
        <w:t>二、</w:t>
      </w:r>
      <w:r>
        <w:rPr>
          <w:rFonts w:hint="eastAsia" w:ascii="方正仿宋_GBK" w:hAnsi="方正仿宋_GBK" w:eastAsia="方正仿宋_GBK" w:cs="方正仿宋_GBK"/>
          <w:b/>
          <w:color w:val="auto"/>
          <w:sz w:val="32"/>
          <w:szCs w:val="32"/>
        </w:rPr>
        <w:t>裁量权基准</w:t>
      </w:r>
    </w:p>
    <w:tbl>
      <w:tblPr>
        <w:tblStyle w:val="6"/>
        <w:tblW w:w="8780" w:type="dxa"/>
        <w:jc w:val="center"/>
        <w:tblLayout w:type="fixed"/>
        <w:tblCellMar>
          <w:top w:w="0" w:type="dxa"/>
          <w:left w:w="108" w:type="dxa"/>
          <w:bottom w:w="0" w:type="dxa"/>
          <w:right w:w="108" w:type="dxa"/>
        </w:tblCellMar>
      </w:tblPr>
      <w:tblGrid>
        <w:gridCol w:w="1447"/>
        <w:gridCol w:w="4713"/>
        <w:gridCol w:w="2620"/>
      </w:tblGrid>
      <w:tr w14:paraId="05370E35">
        <w:tblPrEx>
          <w:tblCellMar>
            <w:top w:w="0" w:type="dxa"/>
            <w:left w:w="108" w:type="dxa"/>
            <w:bottom w:w="0" w:type="dxa"/>
            <w:right w:w="108" w:type="dxa"/>
          </w:tblCellMar>
        </w:tblPrEx>
        <w:trPr>
          <w:trHeight w:val="525" w:hRule="atLeast"/>
          <w:jc w:val="center"/>
        </w:trPr>
        <w:tc>
          <w:tcPr>
            <w:tcW w:w="1447" w:type="dxa"/>
            <w:tcBorders>
              <w:top w:val="single" w:color="auto" w:sz="4" w:space="0"/>
              <w:left w:val="single" w:color="auto" w:sz="4" w:space="0"/>
              <w:bottom w:val="nil"/>
              <w:right w:val="single" w:color="auto" w:sz="4" w:space="0"/>
            </w:tcBorders>
            <w:noWrap/>
            <w:vAlign w:val="center"/>
          </w:tcPr>
          <w:p w14:paraId="712A24D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13" w:type="dxa"/>
            <w:tcBorders>
              <w:top w:val="single" w:color="auto" w:sz="4" w:space="0"/>
              <w:left w:val="nil"/>
              <w:bottom w:val="single" w:color="auto" w:sz="4" w:space="0"/>
              <w:right w:val="single" w:color="000000" w:sz="4" w:space="0"/>
            </w:tcBorders>
            <w:noWrap/>
            <w:vAlign w:val="center"/>
          </w:tcPr>
          <w:p w14:paraId="59473FE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620" w:type="dxa"/>
            <w:tcBorders>
              <w:top w:val="single" w:color="auto" w:sz="4" w:space="0"/>
              <w:left w:val="nil"/>
              <w:bottom w:val="nil"/>
              <w:right w:val="single" w:color="auto" w:sz="4" w:space="0"/>
            </w:tcBorders>
            <w:noWrap w:val="0"/>
            <w:vAlign w:val="center"/>
          </w:tcPr>
          <w:p w14:paraId="2450CC9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091A4F84">
        <w:tblPrEx>
          <w:tblCellMar>
            <w:top w:w="0" w:type="dxa"/>
            <w:left w:w="108" w:type="dxa"/>
            <w:bottom w:w="0" w:type="dxa"/>
            <w:right w:w="108" w:type="dxa"/>
          </w:tblCellMar>
        </w:tblPrEx>
        <w:trPr>
          <w:trHeight w:val="495" w:hRule="atLeast"/>
          <w:jc w:val="center"/>
        </w:trPr>
        <w:tc>
          <w:tcPr>
            <w:tcW w:w="1447" w:type="dxa"/>
            <w:tcBorders>
              <w:top w:val="single" w:color="auto" w:sz="4" w:space="0"/>
              <w:left w:val="single" w:color="auto" w:sz="4" w:space="0"/>
              <w:bottom w:val="single" w:color="auto" w:sz="4" w:space="0"/>
              <w:right w:val="single" w:color="auto" w:sz="4" w:space="0"/>
            </w:tcBorders>
            <w:noWrap w:val="0"/>
            <w:vAlign w:val="center"/>
          </w:tcPr>
          <w:p w14:paraId="296DFD6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情节轻微</w:t>
            </w:r>
          </w:p>
        </w:tc>
        <w:tc>
          <w:tcPr>
            <w:tcW w:w="4713" w:type="dxa"/>
            <w:tcBorders>
              <w:top w:val="single" w:color="auto" w:sz="4" w:space="0"/>
              <w:left w:val="nil"/>
              <w:bottom w:val="single" w:color="auto" w:sz="4" w:space="0"/>
              <w:right w:val="single" w:color="000000" w:sz="4" w:space="0"/>
            </w:tcBorders>
            <w:noWrap w:val="0"/>
            <w:vAlign w:val="center"/>
          </w:tcPr>
          <w:p w14:paraId="7B9C8A9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首次发现涉水产品标签、说明书</w:t>
            </w:r>
            <w:r>
              <w:rPr>
                <w:rFonts w:hint="eastAsia" w:ascii="方正仿宋_GBK" w:hAnsi="方正仿宋_GBK" w:eastAsia="方正仿宋_GBK" w:cs="方正仿宋_GBK"/>
                <w:color w:val="auto"/>
                <w:kern w:val="0"/>
                <w:sz w:val="28"/>
                <w:szCs w:val="28"/>
                <w:lang w:val="en-US" w:eastAsia="zh-CN"/>
              </w:rPr>
              <w:t>未按规定</w:t>
            </w:r>
            <w:r>
              <w:rPr>
                <w:rFonts w:hint="eastAsia" w:ascii="方正仿宋_GBK" w:hAnsi="方正仿宋_GBK" w:eastAsia="方正仿宋_GBK" w:cs="方正仿宋_GBK"/>
                <w:color w:val="auto"/>
                <w:kern w:val="0"/>
                <w:sz w:val="28"/>
                <w:szCs w:val="28"/>
              </w:rPr>
              <w:t>标注技术参数</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且未上市销售，经责令改正后能及时改正的</w:t>
            </w:r>
          </w:p>
        </w:tc>
        <w:tc>
          <w:tcPr>
            <w:tcW w:w="2620" w:type="dxa"/>
            <w:tcBorders>
              <w:top w:val="single" w:color="auto" w:sz="4" w:space="0"/>
              <w:left w:val="nil"/>
              <w:bottom w:val="single" w:color="auto" w:sz="4" w:space="0"/>
              <w:right w:val="single" w:color="auto" w:sz="4" w:space="0"/>
            </w:tcBorders>
            <w:noWrap w:val="0"/>
            <w:vAlign w:val="center"/>
          </w:tcPr>
          <w:p w14:paraId="5D830C23">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w:t>
            </w:r>
          </w:p>
        </w:tc>
      </w:tr>
      <w:tr w14:paraId="4E75E83C">
        <w:tblPrEx>
          <w:tblCellMar>
            <w:top w:w="0" w:type="dxa"/>
            <w:left w:w="108" w:type="dxa"/>
            <w:bottom w:w="0" w:type="dxa"/>
            <w:right w:w="108" w:type="dxa"/>
          </w:tblCellMar>
        </w:tblPrEx>
        <w:trPr>
          <w:trHeight w:val="495" w:hRule="atLeast"/>
          <w:jc w:val="center"/>
        </w:trPr>
        <w:tc>
          <w:tcPr>
            <w:tcW w:w="1447" w:type="dxa"/>
            <w:tcBorders>
              <w:top w:val="single" w:color="auto" w:sz="4" w:space="0"/>
              <w:left w:val="single" w:color="auto" w:sz="4" w:space="0"/>
              <w:bottom w:val="single" w:color="auto" w:sz="4" w:space="0"/>
              <w:right w:val="single" w:color="auto" w:sz="4" w:space="0"/>
            </w:tcBorders>
            <w:noWrap w:val="0"/>
            <w:vAlign w:val="center"/>
          </w:tcPr>
          <w:p w14:paraId="03E16C4A">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713" w:type="dxa"/>
            <w:tcBorders>
              <w:top w:val="single" w:color="auto" w:sz="4" w:space="0"/>
              <w:left w:val="nil"/>
              <w:bottom w:val="single" w:color="auto" w:sz="4" w:space="0"/>
              <w:right w:val="single" w:color="000000" w:sz="4" w:space="0"/>
            </w:tcBorders>
            <w:noWrap w:val="0"/>
            <w:vAlign w:val="center"/>
          </w:tcPr>
          <w:p w14:paraId="58303B4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标签、说明书未按照规定标注技术参数的</w:t>
            </w:r>
            <w:r>
              <w:rPr>
                <w:rFonts w:hint="eastAsia" w:ascii="方正仿宋_GBK" w:hAnsi="方正仿宋_GBK" w:eastAsia="方正仿宋_GBK" w:cs="方正仿宋_GBK"/>
                <w:color w:val="auto"/>
                <w:kern w:val="0"/>
                <w:sz w:val="28"/>
                <w:szCs w:val="28"/>
                <w:lang w:val="en-US" w:eastAsia="zh-CN"/>
              </w:rPr>
              <w:t>1</w:t>
            </w:r>
            <w:r>
              <w:rPr>
                <w:rFonts w:hint="eastAsia" w:ascii="方正仿宋_GBK" w:hAnsi="方正仿宋_GBK" w:eastAsia="方正仿宋_GBK" w:cs="方正仿宋_GBK"/>
                <w:color w:val="auto"/>
                <w:kern w:val="0"/>
                <w:sz w:val="28"/>
                <w:szCs w:val="28"/>
              </w:rPr>
              <w:t>项内容</w:t>
            </w:r>
            <w:r>
              <w:rPr>
                <w:rFonts w:hint="eastAsia" w:ascii="方正仿宋_GBK" w:hAnsi="方正仿宋_GBK" w:eastAsia="方正仿宋_GBK" w:cs="方正仿宋_GBK"/>
                <w:color w:val="auto"/>
                <w:kern w:val="0"/>
                <w:sz w:val="28"/>
                <w:szCs w:val="28"/>
                <w:lang w:eastAsia="zh-CN"/>
              </w:rPr>
              <w:t>的</w:t>
            </w:r>
          </w:p>
        </w:tc>
        <w:tc>
          <w:tcPr>
            <w:tcW w:w="2620" w:type="dxa"/>
            <w:tcBorders>
              <w:top w:val="single" w:color="auto" w:sz="4" w:space="0"/>
              <w:left w:val="nil"/>
              <w:bottom w:val="single" w:color="auto" w:sz="4" w:space="0"/>
              <w:right w:val="single" w:color="auto" w:sz="4" w:space="0"/>
            </w:tcBorders>
            <w:noWrap w:val="0"/>
            <w:vAlign w:val="center"/>
          </w:tcPr>
          <w:p w14:paraId="242318F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警告，500元≤罚款＜18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4581CDE1">
        <w:tblPrEx>
          <w:tblCellMar>
            <w:top w:w="0" w:type="dxa"/>
            <w:left w:w="108" w:type="dxa"/>
            <w:bottom w:w="0" w:type="dxa"/>
            <w:right w:w="108" w:type="dxa"/>
          </w:tblCellMar>
        </w:tblPrEx>
        <w:trPr>
          <w:trHeight w:val="584" w:hRule="atLeast"/>
          <w:jc w:val="center"/>
        </w:trPr>
        <w:tc>
          <w:tcPr>
            <w:tcW w:w="1447" w:type="dxa"/>
            <w:tcBorders>
              <w:top w:val="single" w:color="auto" w:sz="4" w:space="0"/>
              <w:left w:val="single" w:color="auto" w:sz="4" w:space="0"/>
              <w:bottom w:val="single" w:color="auto" w:sz="4" w:space="0"/>
              <w:right w:val="single" w:color="auto" w:sz="4" w:space="0"/>
            </w:tcBorders>
            <w:noWrap w:val="0"/>
            <w:vAlign w:val="center"/>
          </w:tcPr>
          <w:p w14:paraId="3851B95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713" w:type="dxa"/>
            <w:tcBorders>
              <w:top w:val="single" w:color="auto" w:sz="4" w:space="0"/>
              <w:left w:val="nil"/>
              <w:bottom w:val="single" w:color="auto" w:sz="4" w:space="0"/>
              <w:right w:val="single" w:color="000000" w:sz="4" w:space="0"/>
            </w:tcBorders>
            <w:noWrap w:val="0"/>
            <w:vAlign w:val="center"/>
          </w:tcPr>
          <w:p w14:paraId="0675FE6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标签、说明书未按照规定标注技术参数的</w:t>
            </w:r>
            <w:r>
              <w:rPr>
                <w:rFonts w:hint="eastAsia" w:ascii="方正仿宋_GBK" w:hAnsi="方正仿宋_GBK" w:eastAsia="方正仿宋_GBK" w:cs="方正仿宋_GBK"/>
                <w:color w:val="auto"/>
                <w:kern w:val="0"/>
                <w:sz w:val="28"/>
                <w:szCs w:val="28"/>
                <w:lang w:val="en-US" w:eastAsia="zh-CN"/>
              </w:rPr>
              <w:t>2</w:t>
            </w:r>
            <w:r>
              <w:rPr>
                <w:rFonts w:hint="eastAsia" w:ascii="方正仿宋_GBK" w:hAnsi="方正仿宋_GBK" w:eastAsia="方正仿宋_GBK" w:cs="方正仿宋_GBK"/>
                <w:color w:val="auto"/>
                <w:kern w:val="0"/>
                <w:sz w:val="28"/>
                <w:szCs w:val="28"/>
              </w:rPr>
              <w:t>项内容的</w:t>
            </w:r>
          </w:p>
        </w:tc>
        <w:tc>
          <w:tcPr>
            <w:tcW w:w="2620" w:type="dxa"/>
            <w:tcBorders>
              <w:top w:val="single" w:color="auto" w:sz="4" w:space="0"/>
              <w:left w:val="nil"/>
              <w:bottom w:val="single" w:color="auto" w:sz="4" w:space="0"/>
              <w:right w:val="single" w:color="auto" w:sz="4" w:space="0"/>
            </w:tcBorders>
            <w:noWrap w:val="0"/>
            <w:vAlign w:val="center"/>
          </w:tcPr>
          <w:p w14:paraId="27223EE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7373A381">
        <w:tblPrEx>
          <w:tblCellMar>
            <w:top w:w="0" w:type="dxa"/>
            <w:left w:w="108" w:type="dxa"/>
            <w:bottom w:w="0" w:type="dxa"/>
            <w:right w:w="108" w:type="dxa"/>
          </w:tblCellMar>
        </w:tblPrEx>
        <w:trPr>
          <w:trHeight w:val="525" w:hRule="atLeast"/>
          <w:jc w:val="center"/>
        </w:trPr>
        <w:tc>
          <w:tcPr>
            <w:tcW w:w="1447" w:type="dxa"/>
            <w:tcBorders>
              <w:top w:val="nil"/>
              <w:left w:val="single" w:color="auto" w:sz="4" w:space="0"/>
              <w:bottom w:val="single" w:color="auto" w:sz="4" w:space="0"/>
              <w:right w:val="single" w:color="auto" w:sz="4" w:space="0"/>
            </w:tcBorders>
            <w:noWrap w:val="0"/>
            <w:vAlign w:val="center"/>
          </w:tcPr>
          <w:p w14:paraId="6D33B009">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713" w:type="dxa"/>
            <w:tcBorders>
              <w:top w:val="single" w:color="auto" w:sz="4" w:space="0"/>
              <w:left w:val="nil"/>
              <w:bottom w:val="single" w:color="auto" w:sz="4" w:space="0"/>
              <w:right w:val="single" w:color="000000" w:sz="4" w:space="0"/>
            </w:tcBorders>
            <w:noWrap w:val="0"/>
            <w:vAlign w:val="center"/>
          </w:tcPr>
          <w:p w14:paraId="5B19591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rPr>
              <w:t>标签、说明书未按照规定标注技术参数的</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项以上内容</w:t>
            </w:r>
            <w:r>
              <w:rPr>
                <w:rFonts w:hint="eastAsia" w:ascii="方正仿宋_GBK" w:hAnsi="方正仿宋_GBK" w:eastAsia="方正仿宋_GBK" w:cs="方正仿宋_GBK"/>
                <w:color w:val="auto"/>
                <w:kern w:val="0"/>
                <w:sz w:val="28"/>
                <w:szCs w:val="28"/>
                <w:lang w:eastAsia="zh-CN"/>
              </w:rPr>
              <w:t>的或</w:t>
            </w:r>
            <w:r>
              <w:rPr>
                <w:rFonts w:hint="eastAsia" w:ascii="方正仿宋_GBK" w:hAnsi="方正仿宋_GBK" w:eastAsia="方正仿宋_GBK" w:cs="方正仿宋_GBK"/>
                <w:i w:val="0"/>
                <w:iCs w:val="0"/>
                <w:caps w:val="0"/>
                <w:color w:val="auto"/>
                <w:spacing w:val="0"/>
                <w:sz w:val="28"/>
                <w:szCs w:val="28"/>
              </w:rPr>
              <w:t>具有《</w:t>
            </w:r>
            <w:r>
              <w:rPr>
                <w:rFonts w:hint="eastAsia" w:ascii="方正仿宋_GBK" w:hAnsi="方正仿宋_GBK" w:eastAsia="方正仿宋_GBK" w:cs="方正仿宋_GBK"/>
                <w:i w:val="0"/>
                <w:iCs w:val="0"/>
                <w:caps w:val="0"/>
                <w:color w:val="auto"/>
                <w:spacing w:val="0"/>
                <w:sz w:val="28"/>
                <w:szCs w:val="28"/>
                <w:lang w:val="en-US" w:eastAsia="zh-CN"/>
              </w:rPr>
              <w:t>江苏省卫生健康行政处罚</w:t>
            </w:r>
            <w:r>
              <w:rPr>
                <w:rFonts w:hint="eastAsia" w:ascii="方正仿宋_GBK" w:hAnsi="方正仿宋_GBK" w:eastAsia="方正仿宋_GBK" w:cs="方正仿宋_GBK"/>
                <w:i w:val="0"/>
                <w:iCs w:val="0"/>
                <w:caps w:val="0"/>
                <w:color w:val="auto"/>
                <w:spacing w:val="0"/>
                <w:sz w:val="28"/>
                <w:szCs w:val="28"/>
              </w:rPr>
              <w:t>裁量适用办法》从重情形。</w:t>
            </w:r>
          </w:p>
        </w:tc>
        <w:tc>
          <w:tcPr>
            <w:tcW w:w="2620" w:type="dxa"/>
            <w:tcBorders>
              <w:top w:val="nil"/>
              <w:left w:val="nil"/>
              <w:bottom w:val="single" w:color="auto" w:sz="4" w:space="0"/>
              <w:right w:val="single" w:color="auto" w:sz="4" w:space="0"/>
            </w:tcBorders>
            <w:noWrap w:val="0"/>
            <w:vAlign w:val="center"/>
          </w:tcPr>
          <w:p w14:paraId="580BF6A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0元≤罚款≤5000元</w:t>
            </w:r>
          </w:p>
        </w:tc>
      </w:tr>
    </w:tbl>
    <w:p w14:paraId="595560EF">
      <w:pPr>
        <w:spacing w:line="560" w:lineRule="exact"/>
        <w:ind w:firstLine="640" w:firstLineChars="200"/>
        <w:rPr>
          <w:rFonts w:ascii="Times New Roman" w:hAnsi="Times New Roman" w:eastAsia="黑体"/>
          <w:color w:val="auto"/>
          <w:sz w:val="32"/>
          <w:szCs w:val="32"/>
        </w:rPr>
      </w:pPr>
    </w:p>
    <w:p w14:paraId="23D7A56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案由三</w:t>
      </w:r>
      <w:r>
        <w:rPr>
          <w:rFonts w:hint="eastAsia" w:ascii="方正楷体_GBK" w:hAnsi="方正楷体_GBK" w:eastAsia="方正楷体_GBK" w:cs="方正楷体_GBK"/>
          <w:color w:val="auto"/>
          <w:sz w:val="32"/>
          <w:szCs w:val="32"/>
        </w:rPr>
        <w:t>：现制现售饮用水水质不符合相应的卫生标准、卫生规范的</w:t>
      </w:r>
    </w:p>
    <w:p w14:paraId="14C2A0B3">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664FB93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三条第三项规定：“违反本条例规定，有下列情形之一的，由卫生健康（疾病预防控制）部门责令改正，予以警告，并可以处五百元以上五千元以下罚款：（三）现制现售饮用水水质不符合相应的卫生标准、卫生规范的。”</w:t>
      </w:r>
    </w:p>
    <w:p w14:paraId="4CC315E6">
      <w:pPr>
        <w:spacing w:line="560" w:lineRule="exact"/>
        <w:ind w:firstLine="643" w:firstLineChars="200"/>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8780" w:type="dxa"/>
        <w:tblInd w:w="0" w:type="dxa"/>
        <w:tblLayout w:type="fixed"/>
        <w:tblCellMar>
          <w:top w:w="0" w:type="dxa"/>
          <w:left w:w="108" w:type="dxa"/>
          <w:bottom w:w="0" w:type="dxa"/>
          <w:right w:w="108" w:type="dxa"/>
        </w:tblCellMar>
      </w:tblPr>
      <w:tblGrid>
        <w:gridCol w:w="1424"/>
        <w:gridCol w:w="4838"/>
        <w:gridCol w:w="2518"/>
      </w:tblGrid>
      <w:tr w14:paraId="379FC588">
        <w:tblPrEx>
          <w:tblCellMar>
            <w:top w:w="0" w:type="dxa"/>
            <w:left w:w="108" w:type="dxa"/>
            <w:bottom w:w="0" w:type="dxa"/>
            <w:right w:w="108" w:type="dxa"/>
          </w:tblCellMar>
        </w:tblPrEx>
        <w:trPr>
          <w:trHeight w:val="525" w:hRule="atLeast"/>
        </w:trPr>
        <w:tc>
          <w:tcPr>
            <w:tcW w:w="1424" w:type="dxa"/>
            <w:tcBorders>
              <w:top w:val="single" w:color="auto" w:sz="4" w:space="0"/>
              <w:left w:val="single" w:color="auto" w:sz="4" w:space="0"/>
              <w:bottom w:val="nil"/>
              <w:right w:val="single" w:color="auto" w:sz="4" w:space="0"/>
            </w:tcBorders>
            <w:noWrap/>
            <w:vAlign w:val="center"/>
          </w:tcPr>
          <w:p w14:paraId="7871821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838" w:type="dxa"/>
            <w:tcBorders>
              <w:top w:val="single" w:color="auto" w:sz="4" w:space="0"/>
              <w:left w:val="nil"/>
              <w:bottom w:val="single" w:color="auto" w:sz="4" w:space="0"/>
              <w:right w:val="single" w:color="000000" w:sz="4" w:space="0"/>
            </w:tcBorders>
            <w:noWrap/>
            <w:vAlign w:val="center"/>
          </w:tcPr>
          <w:p w14:paraId="54438242">
            <w:pPr>
              <w:keepNext w:val="0"/>
              <w:keepLines w:val="0"/>
              <w:pageBreakBefore w:val="0"/>
              <w:widowControl/>
              <w:kinsoku/>
              <w:wordWrap/>
              <w:overflowPunct/>
              <w:topLinePunct w:val="0"/>
              <w:autoSpaceDE/>
              <w:autoSpaceDN/>
              <w:bidi w:val="0"/>
              <w:adjustRightInd/>
              <w:snapToGrid/>
              <w:spacing w:line="440" w:lineRule="exact"/>
              <w:ind w:firstLine="480"/>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518" w:type="dxa"/>
            <w:tcBorders>
              <w:top w:val="single" w:color="auto" w:sz="4" w:space="0"/>
              <w:left w:val="nil"/>
              <w:bottom w:val="nil"/>
              <w:right w:val="single" w:color="auto" w:sz="4" w:space="0"/>
            </w:tcBorders>
            <w:noWrap w:val="0"/>
            <w:vAlign w:val="center"/>
          </w:tcPr>
          <w:p w14:paraId="1891546F">
            <w:pPr>
              <w:keepNext w:val="0"/>
              <w:keepLines w:val="0"/>
              <w:pageBreakBefore w:val="0"/>
              <w:widowControl/>
              <w:kinsoku/>
              <w:wordWrap/>
              <w:overflowPunct/>
              <w:topLinePunct w:val="0"/>
              <w:autoSpaceDE/>
              <w:autoSpaceDN/>
              <w:bidi w:val="0"/>
              <w:adjustRightInd/>
              <w:snapToGrid/>
              <w:spacing w:line="440" w:lineRule="exact"/>
              <w:ind w:firstLine="480"/>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29073D5F">
        <w:tblPrEx>
          <w:tblCellMar>
            <w:top w:w="0" w:type="dxa"/>
            <w:left w:w="108" w:type="dxa"/>
            <w:bottom w:w="0" w:type="dxa"/>
            <w:right w:w="108" w:type="dxa"/>
          </w:tblCellMar>
        </w:tblPrEx>
        <w:trPr>
          <w:trHeight w:val="495" w:hRule="atLeast"/>
        </w:trPr>
        <w:tc>
          <w:tcPr>
            <w:tcW w:w="1424" w:type="dxa"/>
            <w:tcBorders>
              <w:top w:val="single" w:color="auto" w:sz="4" w:space="0"/>
              <w:left w:val="single" w:color="auto" w:sz="4" w:space="0"/>
              <w:bottom w:val="single" w:color="auto" w:sz="4" w:space="0"/>
              <w:right w:val="single" w:color="auto" w:sz="4" w:space="0"/>
            </w:tcBorders>
            <w:noWrap w:val="0"/>
            <w:vAlign w:val="center"/>
          </w:tcPr>
          <w:p w14:paraId="601CB91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838" w:type="dxa"/>
            <w:tcBorders>
              <w:top w:val="single" w:color="auto" w:sz="4" w:space="0"/>
              <w:left w:val="nil"/>
              <w:bottom w:val="single" w:color="auto" w:sz="4" w:space="0"/>
              <w:right w:val="single" w:color="000000" w:sz="4" w:space="0"/>
            </w:tcBorders>
            <w:noWrap w:val="0"/>
            <w:vAlign w:val="center"/>
          </w:tcPr>
          <w:p w14:paraId="0776C03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现制现售饮用水水质不符合相应的卫生标准、卫生规范的指标数量为</w:t>
            </w:r>
            <w:r>
              <w:rPr>
                <w:rFonts w:hint="eastAsia" w:ascii="方正仿宋_GBK" w:hAnsi="方正仿宋_GBK" w:eastAsia="方正仿宋_GBK" w:cs="方正仿宋_GBK"/>
                <w:color w:val="auto"/>
                <w:kern w:val="0"/>
                <w:sz w:val="28"/>
                <w:szCs w:val="28"/>
                <w:lang w:val="en-US" w:eastAsia="zh-CN"/>
              </w:rPr>
              <w:t>1</w:t>
            </w:r>
            <w:r>
              <w:rPr>
                <w:rFonts w:hint="eastAsia" w:ascii="方正仿宋_GBK" w:hAnsi="方正仿宋_GBK" w:eastAsia="方正仿宋_GBK" w:cs="方正仿宋_GBK"/>
                <w:color w:val="auto"/>
                <w:kern w:val="0"/>
                <w:sz w:val="28"/>
                <w:szCs w:val="28"/>
              </w:rPr>
              <w:t>项的</w:t>
            </w:r>
          </w:p>
        </w:tc>
        <w:tc>
          <w:tcPr>
            <w:tcW w:w="2518" w:type="dxa"/>
            <w:tcBorders>
              <w:top w:val="single" w:color="auto" w:sz="4" w:space="0"/>
              <w:left w:val="nil"/>
              <w:bottom w:val="single" w:color="auto" w:sz="4" w:space="0"/>
              <w:right w:val="single" w:color="auto" w:sz="4" w:space="0"/>
            </w:tcBorders>
            <w:noWrap w:val="0"/>
            <w:vAlign w:val="center"/>
          </w:tcPr>
          <w:p w14:paraId="45D9744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警告，500元≤罚款＜18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122A52EE">
        <w:tblPrEx>
          <w:tblCellMar>
            <w:top w:w="0" w:type="dxa"/>
            <w:left w:w="108" w:type="dxa"/>
            <w:bottom w:w="0" w:type="dxa"/>
            <w:right w:w="108" w:type="dxa"/>
          </w:tblCellMar>
        </w:tblPrEx>
        <w:trPr>
          <w:trHeight w:val="495" w:hRule="atLeast"/>
        </w:trPr>
        <w:tc>
          <w:tcPr>
            <w:tcW w:w="1424" w:type="dxa"/>
            <w:tcBorders>
              <w:top w:val="single" w:color="auto" w:sz="4" w:space="0"/>
              <w:left w:val="single" w:color="auto" w:sz="4" w:space="0"/>
              <w:bottom w:val="single" w:color="auto" w:sz="4" w:space="0"/>
              <w:right w:val="single" w:color="auto" w:sz="4" w:space="0"/>
            </w:tcBorders>
            <w:noWrap w:val="0"/>
            <w:vAlign w:val="center"/>
          </w:tcPr>
          <w:p w14:paraId="694BA7B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838" w:type="dxa"/>
            <w:tcBorders>
              <w:top w:val="single" w:color="auto" w:sz="4" w:space="0"/>
              <w:left w:val="nil"/>
              <w:bottom w:val="single" w:color="auto" w:sz="4" w:space="0"/>
              <w:right w:val="single" w:color="000000" w:sz="4" w:space="0"/>
            </w:tcBorders>
            <w:noWrap w:val="0"/>
            <w:vAlign w:val="center"/>
          </w:tcPr>
          <w:p w14:paraId="249D43D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现制现售饮用水水质不符合相应的卫生标准、卫生规范的指标数量为</w:t>
            </w:r>
            <w:r>
              <w:rPr>
                <w:rFonts w:hint="eastAsia" w:ascii="方正仿宋_GBK" w:hAnsi="方正仿宋_GBK" w:eastAsia="方正仿宋_GBK" w:cs="方正仿宋_GBK"/>
                <w:color w:val="auto"/>
                <w:kern w:val="0"/>
                <w:sz w:val="28"/>
                <w:szCs w:val="28"/>
                <w:lang w:val="en-US" w:eastAsia="zh-CN"/>
              </w:rPr>
              <w:t>2</w:t>
            </w:r>
            <w:r>
              <w:rPr>
                <w:rFonts w:hint="eastAsia" w:ascii="方正仿宋_GBK" w:hAnsi="方正仿宋_GBK" w:eastAsia="方正仿宋_GBK" w:cs="方正仿宋_GBK"/>
                <w:color w:val="auto"/>
                <w:kern w:val="0"/>
                <w:sz w:val="28"/>
                <w:szCs w:val="28"/>
              </w:rPr>
              <w:t>项的</w:t>
            </w:r>
          </w:p>
        </w:tc>
        <w:tc>
          <w:tcPr>
            <w:tcW w:w="2518" w:type="dxa"/>
            <w:tcBorders>
              <w:top w:val="single" w:color="auto" w:sz="4" w:space="0"/>
              <w:left w:val="nil"/>
              <w:bottom w:val="single" w:color="auto" w:sz="4" w:space="0"/>
              <w:right w:val="single" w:color="auto" w:sz="4" w:space="0"/>
            </w:tcBorders>
            <w:noWrap w:val="0"/>
            <w:vAlign w:val="center"/>
          </w:tcPr>
          <w:p w14:paraId="543FC91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警告，18</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w:t>
            </w:r>
          </w:p>
        </w:tc>
      </w:tr>
      <w:tr w14:paraId="02A003AC">
        <w:tblPrEx>
          <w:tblCellMar>
            <w:top w:w="0" w:type="dxa"/>
            <w:left w:w="108" w:type="dxa"/>
            <w:bottom w:w="0" w:type="dxa"/>
            <w:right w:w="108" w:type="dxa"/>
          </w:tblCellMar>
        </w:tblPrEx>
        <w:trPr>
          <w:trHeight w:val="525" w:hRule="atLeast"/>
        </w:trPr>
        <w:tc>
          <w:tcPr>
            <w:tcW w:w="1424" w:type="dxa"/>
            <w:tcBorders>
              <w:top w:val="nil"/>
              <w:left w:val="single" w:color="auto" w:sz="4" w:space="0"/>
              <w:bottom w:val="single" w:color="auto" w:sz="4" w:space="0"/>
              <w:right w:val="single" w:color="auto" w:sz="4" w:space="0"/>
            </w:tcBorders>
            <w:noWrap w:val="0"/>
            <w:vAlign w:val="center"/>
          </w:tcPr>
          <w:p w14:paraId="37C2E2FA">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838" w:type="dxa"/>
            <w:tcBorders>
              <w:top w:val="single" w:color="auto" w:sz="4" w:space="0"/>
              <w:left w:val="nil"/>
              <w:bottom w:val="single" w:color="auto" w:sz="4" w:space="0"/>
              <w:right w:val="single" w:color="000000" w:sz="4" w:space="0"/>
            </w:tcBorders>
            <w:noWrap w:val="0"/>
            <w:vAlign w:val="center"/>
          </w:tcPr>
          <w:p w14:paraId="0AE3F37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rPr>
              <w:t>现制现售饮用水水质不符合相应的卫生标准、卫生规范的指标数量为</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项以上的</w:t>
            </w:r>
          </w:p>
        </w:tc>
        <w:tc>
          <w:tcPr>
            <w:tcW w:w="2518" w:type="dxa"/>
            <w:tcBorders>
              <w:top w:val="nil"/>
              <w:left w:val="nil"/>
              <w:bottom w:val="single" w:color="auto" w:sz="4" w:space="0"/>
              <w:right w:val="single" w:color="auto" w:sz="4" w:space="0"/>
            </w:tcBorders>
            <w:noWrap w:val="0"/>
            <w:vAlign w:val="center"/>
          </w:tcPr>
          <w:p w14:paraId="6487773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警告，36</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0元≤罚款≤5000元</w:t>
            </w:r>
          </w:p>
        </w:tc>
      </w:tr>
    </w:tbl>
    <w:p w14:paraId="2393467E">
      <w:pPr>
        <w:spacing w:line="560" w:lineRule="exact"/>
        <w:ind w:firstLine="640" w:firstLineChars="200"/>
        <w:rPr>
          <w:rFonts w:ascii="Times New Roman" w:hAnsi="Times New Roman" w:eastAsia="黑体"/>
          <w:color w:val="auto"/>
          <w:sz w:val="32"/>
          <w:szCs w:val="32"/>
        </w:rPr>
      </w:pPr>
    </w:p>
    <w:p w14:paraId="03AF6FC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案由四</w:t>
      </w:r>
      <w:r>
        <w:rPr>
          <w:rFonts w:hint="eastAsia" w:ascii="方正楷体_GBK" w:hAnsi="方正楷体_GBK" w:eastAsia="方正楷体_GBK" w:cs="方正楷体_GBK"/>
          <w:color w:val="auto"/>
          <w:sz w:val="32"/>
          <w:szCs w:val="32"/>
        </w:rPr>
        <w:t>：集中式供水单位、二次供水设施管理单位、现制现售饮用水经营者使用应当取得而未取得卫生许可的涉水产品的</w:t>
      </w:r>
    </w:p>
    <w:p w14:paraId="3B4FE430">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69B75819">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四条第一项规定：“违反本条例规定，有下列情形之一的，由卫生健康（疾病预防控制）部门责令改正，没收违法所得，并处五千元以上三万元以下罚款：（一）集中式供水单位、二次供水设施管理单位、现制现售饮用水经营者使用应当取得而未取得卫生许可的涉水产品的；”</w:t>
      </w:r>
    </w:p>
    <w:p w14:paraId="1C6FEA3A">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8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4611"/>
        <w:gridCol w:w="2620"/>
      </w:tblGrid>
      <w:tr w14:paraId="30201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549" w:type="dxa"/>
            <w:noWrap/>
            <w:vAlign w:val="center"/>
          </w:tcPr>
          <w:p w14:paraId="2FAC5336">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611" w:type="dxa"/>
            <w:noWrap/>
            <w:vAlign w:val="center"/>
          </w:tcPr>
          <w:p w14:paraId="04085E5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620" w:type="dxa"/>
            <w:noWrap w:val="0"/>
            <w:vAlign w:val="center"/>
          </w:tcPr>
          <w:p w14:paraId="031AC5B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164CA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549" w:type="dxa"/>
            <w:noWrap w:val="0"/>
            <w:vAlign w:val="center"/>
          </w:tcPr>
          <w:p w14:paraId="7C01E03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611" w:type="dxa"/>
            <w:noWrap w:val="0"/>
            <w:vAlign w:val="center"/>
          </w:tcPr>
          <w:p w14:paraId="732D8C9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二次供水设施管理单位、现制现售饮用水经营者使用应当取得而未取得卫生许可的涉水产品</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不含化学处理剂</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且使用时间在3个月以内的</w:t>
            </w:r>
          </w:p>
        </w:tc>
        <w:tc>
          <w:tcPr>
            <w:tcW w:w="2620" w:type="dxa"/>
            <w:noWrap w:val="0"/>
            <w:vAlign w:val="center"/>
          </w:tcPr>
          <w:p w14:paraId="7CF7071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没收违法所得，0.5万元≤罚款＜1.25万元</w:t>
            </w:r>
          </w:p>
        </w:tc>
      </w:tr>
      <w:tr w14:paraId="2CA1F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49" w:type="dxa"/>
            <w:vMerge w:val="restart"/>
            <w:noWrap w:val="0"/>
            <w:vAlign w:val="center"/>
          </w:tcPr>
          <w:p w14:paraId="48D2182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611" w:type="dxa"/>
            <w:noWrap w:val="0"/>
            <w:vAlign w:val="center"/>
          </w:tcPr>
          <w:p w14:paraId="0D3996E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集中式供水单位使用应当取得而未取得卫生许可的涉水产品</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不含化学处理剂</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且使用时间在3个月以内的</w:t>
            </w:r>
          </w:p>
        </w:tc>
        <w:tc>
          <w:tcPr>
            <w:tcW w:w="2620" w:type="dxa"/>
            <w:vMerge w:val="restart"/>
            <w:noWrap w:val="0"/>
            <w:vAlign w:val="center"/>
          </w:tcPr>
          <w:p w14:paraId="070E423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没收违法所得，1.25万元≤罚款＜2.25万元</w:t>
            </w:r>
          </w:p>
        </w:tc>
      </w:tr>
      <w:tr w14:paraId="0F91C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549" w:type="dxa"/>
            <w:vMerge w:val="continue"/>
            <w:noWrap w:val="0"/>
            <w:vAlign w:val="center"/>
          </w:tcPr>
          <w:p w14:paraId="1394F78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4611" w:type="dxa"/>
            <w:noWrap w:val="0"/>
            <w:vAlign w:val="center"/>
          </w:tcPr>
          <w:p w14:paraId="2B273EC3">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二次供水设施管理单位、现制现售饮用水经营者使用应当取得而未取得卫生许可的涉水产品</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不含化学处理剂</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且使用时间在3个月以上的</w:t>
            </w:r>
          </w:p>
        </w:tc>
        <w:tc>
          <w:tcPr>
            <w:tcW w:w="2620" w:type="dxa"/>
            <w:vMerge w:val="continue"/>
            <w:noWrap w:val="0"/>
            <w:vAlign w:val="center"/>
          </w:tcPr>
          <w:p w14:paraId="227B9A2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r>
      <w:tr w14:paraId="2F99E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1549" w:type="dxa"/>
            <w:noWrap w:val="0"/>
            <w:vAlign w:val="center"/>
          </w:tcPr>
          <w:p w14:paraId="60FA253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611" w:type="dxa"/>
            <w:noWrap w:val="0"/>
            <w:vAlign w:val="center"/>
          </w:tcPr>
          <w:p w14:paraId="7EDCFE5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rPr>
              <w:t>集中式供水单位使用应当取得而未取得卫生许可的涉水产品</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不含化学处理剂</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且使用时间在3个月以上的；</w:t>
            </w:r>
            <w:r>
              <w:rPr>
                <w:rFonts w:hint="eastAsia" w:ascii="方正仿宋_GBK" w:hAnsi="方正仿宋_GBK" w:eastAsia="方正仿宋_GBK" w:cs="方正仿宋_GBK"/>
                <w:color w:val="auto"/>
                <w:kern w:val="0"/>
                <w:sz w:val="28"/>
                <w:szCs w:val="28"/>
              </w:rPr>
              <w:t>集中式供水单位</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二次供水设施管理单位使用应当取得而未取得卫生许可的</w:t>
            </w:r>
            <w:r>
              <w:rPr>
                <w:rFonts w:hint="eastAsia" w:ascii="方正仿宋_GBK" w:hAnsi="方正仿宋_GBK" w:eastAsia="方正仿宋_GBK" w:cs="方正仿宋_GBK"/>
                <w:color w:val="auto"/>
                <w:kern w:val="0"/>
                <w:sz w:val="28"/>
                <w:szCs w:val="28"/>
                <w:lang w:val="en-US" w:eastAsia="zh-CN"/>
              </w:rPr>
              <w:t>化学处理剂类</w:t>
            </w:r>
            <w:r>
              <w:rPr>
                <w:rFonts w:hint="eastAsia" w:ascii="方正仿宋_GBK" w:hAnsi="方正仿宋_GBK" w:eastAsia="方正仿宋_GBK" w:cs="方正仿宋_GBK"/>
                <w:color w:val="auto"/>
                <w:kern w:val="0"/>
                <w:sz w:val="28"/>
                <w:szCs w:val="28"/>
              </w:rPr>
              <w:t>涉水产品</w:t>
            </w:r>
            <w:r>
              <w:rPr>
                <w:rFonts w:hint="eastAsia" w:ascii="方正仿宋_GBK" w:hAnsi="方正仿宋_GBK" w:eastAsia="方正仿宋_GBK" w:cs="方正仿宋_GBK"/>
                <w:color w:val="auto"/>
                <w:kern w:val="0"/>
                <w:sz w:val="28"/>
                <w:szCs w:val="28"/>
                <w:lang w:eastAsia="zh-CN"/>
              </w:rPr>
              <w:t>的</w:t>
            </w:r>
          </w:p>
        </w:tc>
        <w:tc>
          <w:tcPr>
            <w:tcW w:w="2620" w:type="dxa"/>
            <w:noWrap w:val="0"/>
            <w:vAlign w:val="center"/>
          </w:tcPr>
          <w:p w14:paraId="33BF9F44">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没收违法所得，2.25万元≤罚款≤3万元</w:t>
            </w:r>
          </w:p>
        </w:tc>
      </w:tr>
    </w:tbl>
    <w:p w14:paraId="66E7F05F">
      <w:pPr>
        <w:spacing w:line="560" w:lineRule="exact"/>
        <w:ind w:firstLine="640" w:firstLineChars="200"/>
        <w:rPr>
          <w:rFonts w:hint="eastAsia" w:ascii="方正楷体_GBK" w:hAnsi="方正楷体_GBK" w:eastAsia="方正楷体_GBK" w:cs="方正楷体_GBK"/>
          <w:color w:val="auto"/>
          <w:sz w:val="32"/>
          <w:szCs w:val="32"/>
        </w:rPr>
      </w:pPr>
    </w:p>
    <w:p w14:paraId="24F3201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案由五</w:t>
      </w:r>
      <w:r>
        <w:rPr>
          <w:rFonts w:hint="eastAsia" w:ascii="方正楷体_GBK" w:hAnsi="方正楷体_GBK" w:eastAsia="方正楷体_GBK" w:cs="方正楷体_GBK"/>
          <w:color w:val="auto"/>
          <w:sz w:val="32"/>
          <w:szCs w:val="32"/>
        </w:rPr>
        <w:t>：涉水产品生产企业未按照卫生许可批准的技术参数组织生产的</w:t>
      </w:r>
    </w:p>
    <w:p w14:paraId="154B15D2">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01BD0EA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四条第二项规定：“违反本条例规定，有下列情形之一的，由卫生健康（疾病预防控制）部门责令改正，没收违法所得，并处五千元以上三万元以下罚款：（二）涉水产品生产企业未按照卫生许可批准的技术参数组织生产的；”</w:t>
      </w:r>
    </w:p>
    <w:p w14:paraId="3FC85D2B">
      <w:pPr>
        <w:keepNext w:val="0"/>
        <w:keepLines w:val="0"/>
        <w:pageBreakBefore w:val="0"/>
        <w:widowControl w:val="0"/>
        <w:numPr>
          <w:ilvl w:val="0"/>
          <w:numId w:val="4"/>
        </w:numPr>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裁量权基准</w:t>
      </w:r>
    </w:p>
    <w:tbl>
      <w:tblPr>
        <w:tblStyle w:val="6"/>
        <w:tblW w:w="8780" w:type="dxa"/>
        <w:tblInd w:w="0" w:type="dxa"/>
        <w:tblLayout w:type="fixed"/>
        <w:tblCellMar>
          <w:top w:w="0" w:type="dxa"/>
          <w:left w:w="108" w:type="dxa"/>
          <w:bottom w:w="0" w:type="dxa"/>
          <w:right w:w="108" w:type="dxa"/>
        </w:tblCellMar>
      </w:tblPr>
      <w:tblGrid>
        <w:gridCol w:w="1487"/>
        <w:gridCol w:w="4937"/>
        <w:gridCol w:w="2356"/>
      </w:tblGrid>
      <w:tr w14:paraId="7A2E1C8A">
        <w:tblPrEx>
          <w:tblCellMar>
            <w:top w:w="0" w:type="dxa"/>
            <w:left w:w="108" w:type="dxa"/>
            <w:bottom w:w="0" w:type="dxa"/>
            <w:right w:w="108" w:type="dxa"/>
          </w:tblCellMar>
        </w:tblPrEx>
        <w:trPr>
          <w:trHeight w:val="525" w:hRule="atLeast"/>
        </w:trPr>
        <w:tc>
          <w:tcPr>
            <w:tcW w:w="1487" w:type="dxa"/>
            <w:tcBorders>
              <w:top w:val="single" w:color="auto" w:sz="4" w:space="0"/>
              <w:left w:val="single" w:color="auto" w:sz="4" w:space="0"/>
              <w:bottom w:val="nil"/>
              <w:right w:val="single" w:color="auto" w:sz="4" w:space="0"/>
            </w:tcBorders>
            <w:noWrap/>
            <w:vAlign w:val="center"/>
          </w:tcPr>
          <w:p w14:paraId="78DE875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裁量阶次</w:t>
            </w:r>
          </w:p>
        </w:tc>
        <w:tc>
          <w:tcPr>
            <w:tcW w:w="4937" w:type="dxa"/>
            <w:tcBorders>
              <w:top w:val="single" w:color="auto" w:sz="4" w:space="0"/>
              <w:left w:val="nil"/>
              <w:bottom w:val="single" w:color="auto" w:sz="4" w:space="0"/>
              <w:right w:val="single" w:color="000000" w:sz="4" w:space="0"/>
            </w:tcBorders>
            <w:noWrap/>
            <w:vAlign w:val="center"/>
          </w:tcPr>
          <w:p w14:paraId="5E383C1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适用条件</w:t>
            </w:r>
          </w:p>
        </w:tc>
        <w:tc>
          <w:tcPr>
            <w:tcW w:w="2356" w:type="dxa"/>
            <w:tcBorders>
              <w:top w:val="single" w:color="auto" w:sz="4" w:space="0"/>
              <w:left w:val="nil"/>
              <w:bottom w:val="nil"/>
              <w:right w:val="single" w:color="auto" w:sz="4" w:space="0"/>
            </w:tcBorders>
            <w:noWrap w:val="0"/>
            <w:vAlign w:val="center"/>
          </w:tcPr>
          <w:p w14:paraId="072C8F7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具体标准</w:t>
            </w:r>
          </w:p>
        </w:tc>
      </w:tr>
      <w:tr w14:paraId="06F42F5F">
        <w:tblPrEx>
          <w:tblCellMar>
            <w:top w:w="0" w:type="dxa"/>
            <w:left w:w="108" w:type="dxa"/>
            <w:bottom w:w="0" w:type="dxa"/>
            <w:right w:w="108" w:type="dxa"/>
          </w:tblCellMar>
        </w:tblPrEx>
        <w:trPr>
          <w:trHeight w:val="495" w:hRule="atLeast"/>
        </w:trPr>
        <w:tc>
          <w:tcPr>
            <w:tcW w:w="1487" w:type="dxa"/>
            <w:tcBorders>
              <w:top w:val="single" w:color="auto" w:sz="4" w:space="0"/>
              <w:left w:val="single" w:color="auto" w:sz="4" w:space="0"/>
              <w:bottom w:val="single" w:color="auto" w:sz="4" w:space="0"/>
              <w:right w:val="single" w:color="auto" w:sz="4" w:space="0"/>
            </w:tcBorders>
            <w:noWrap w:val="0"/>
            <w:vAlign w:val="center"/>
          </w:tcPr>
          <w:p w14:paraId="04D9727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情节较轻</w:t>
            </w:r>
          </w:p>
        </w:tc>
        <w:tc>
          <w:tcPr>
            <w:tcW w:w="4937" w:type="dxa"/>
            <w:tcBorders>
              <w:top w:val="single" w:color="auto" w:sz="4" w:space="0"/>
              <w:left w:val="nil"/>
              <w:bottom w:val="single" w:color="auto" w:sz="4" w:space="0"/>
              <w:right w:val="single" w:color="000000" w:sz="4" w:space="0"/>
            </w:tcBorders>
            <w:noWrap w:val="0"/>
            <w:vAlign w:val="center"/>
          </w:tcPr>
          <w:p w14:paraId="4E23C4DC">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涉水产品生产企业未按照卫生许可批准的技术参数组织生产的产品尚未销售的</w:t>
            </w:r>
          </w:p>
        </w:tc>
        <w:tc>
          <w:tcPr>
            <w:tcW w:w="2356" w:type="dxa"/>
            <w:tcBorders>
              <w:top w:val="single" w:color="auto" w:sz="4" w:space="0"/>
              <w:left w:val="nil"/>
              <w:bottom w:val="single" w:color="auto" w:sz="4" w:space="0"/>
              <w:right w:val="single" w:color="auto" w:sz="4" w:space="0"/>
            </w:tcBorders>
            <w:noWrap w:val="0"/>
            <w:vAlign w:val="center"/>
          </w:tcPr>
          <w:p w14:paraId="08CE7F3C">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hint="eastAsia" w:ascii="方正仿宋_GBK" w:hAnsi="方正仿宋_GBK" w:eastAsia="方正仿宋_GBK" w:cs="方正仿宋_GBK"/>
                <w:color w:val="auto"/>
                <w:sz w:val="28"/>
                <w:szCs w:val="28"/>
              </w:rPr>
              <w:t>责令改正</w:t>
            </w:r>
            <w:r>
              <w:rPr>
                <w:rFonts w:ascii="Times New Roman" w:hAnsi="Times New Roman" w:eastAsia="仿宋_GB2312" w:cs="Times New Roman"/>
                <w:color w:val="auto"/>
                <w:kern w:val="0"/>
                <w:sz w:val="28"/>
                <w:szCs w:val="28"/>
              </w:rPr>
              <w:t>，0.5万元≤罚款＜1.25万元</w:t>
            </w:r>
          </w:p>
        </w:tc>
      </w:tr>
      <w:tr w14:paraId="74370B46">
        <w:tblPrEx>
          <w:tblCellMar>
            <w:top w:w="0" w:type="dxa"/>
            <w:left w:w="108" w:type="dxa"/>
            <w:bottom w:w="0" w:type="dxa"/>
            <w:right w:w="108" w:type="dxa"/>
          </w:tblCellMar>
        </w:tblPrEx>
        <w:trPr>
          <w:trHeight w:val="495" w:hRule="atLeast"/>
        </w:trPr>
        <w:tc>
          <w:tcPr>
            <w:tcW w:w="1487" w:type="dxa"/>
            <w:tcBorders>
              <w:top w:val="single" w:color="auto" w:sz="4" w:space="0"/>
              <w:left w:val="single" w:color="auto" w:sz="4" w:space="0"/>
              <w:bottom w:val="single" w:color="auto" w:sz="4" w:space="0"/>
              <w:right w:val="single" w:color="auto" w:sz="4" w:space="0"/>
            </w:tcBorders>
            <w:noWrap w:val="0"/>
            <w:vAlign w:val="center"/>
          </w:tcPr>
          <w:p w14:paraId="380B1DC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情节一般</w:t>
            </w:r>
          </w:p>
        </w:tc>
        <w:tc>
          <w:tcPr>
            <w:tcW w:w="4937" w:type="dxa"/>
            <w:tcBorders>
              <w:top w:val="single" w:color="auto" w:sz="4" w:space="0"/>
              <w:left w:val="nil"/>
              <w:bottom w:val="single" w:color="auto" w:sz="4" w:space="0"/>
              <w:right w:val="single" w:color="000000" w:sz="4" w:space="0"/>
            </w:tcBorders>
            <w:noWrap w:val="0"/>
            <w:vAlign w:val="center"/>
          </w:tcPr>
          <w:p w14:paraId="32945642">
            <w:pPr>
              <w:keepNext w:val="0"/>
              <w:keepLines w:val="0"/>
              <w:pageBreakBefore w:val="0"/>
              <w:widowControl/>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rPr>
              <w:t>涉水产品生产企业未按照卫生许可批准的技术参数组织生产的产品已销售</w:t>
            </w:r>
            <w:r>
              <w:rPr>
                <w:rFonts w:hint="eastAsia" w:ascii="Times New Roman" w:hAnsi="Times New Roman" w:eastAsia="仿宋_GB2312" w:cs="Times New Roman"/>
                <w:color w:val="auto"/>
                <w:kern w:val="0"/>
                <w:sz w:val="28"/>
                <w:szCs w:val="28"/>
                <w:lang w:eastAsia="zh-CN"/>
              </w:rPr>
              <w:t>，</w:t>
            </w:r>
            <w:r>
              <w:rPr>
                <w:rFonts w:hint="eastAsia" w:ascii="Times New Roman" w:hAnsi="Times New Roman" w:eastAsia="仿宋_GB2312" w:cs="Times New Roman"/>
                <w:color w:val="auto"/>
                <w:kern w:val="0"/>
                <w:sz w:val="28"/>
                <w:szCs w:val="28"/>
                <w:lang w:val="en-US" w:eastAsia="zh-CN"/>
              </w:rPr>
              <w:t>销售产品金额在10万元以内的</w:t>
            </w:r>
          </w:p>
        </w:tc>
        <w:tc>
          <w:tcPr>
            <w:tcW w:w="2356" w:type="dxa"/>
            <w:tcBorders>
              <w:top w:val="single" w:color="auto" w:sz="4" w:space="0"/>
              <w:left w:val="nil"/>
              <w:bottom w:val="single" w:color="auto" w:sz="4" w:space="0"/>
              <w:right w:val="single" w:color="auto" w:sz="4" w:space="0"/>
            </w:tcBorders>
            <w:noWrap w:val="0"/>
            <w:vAlign w:val="center"/>
          </w:tcPr>
          <w:p w14:paraId="79B8CAB9">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没收违法所得，1.25万元≤罚款＜2.25万元</w:t>
            </w:r>
          </w:p>
        </w:tc>
      </w:tr>
      <w:tr w14:paraId="2640D73E">
        <w:tblPrEx>
          <w:tblCellMar>
            <w:top w:w="0" w:type="dxa"/>
            <w:left w:w="108" w:type="dxa"/>
            <w:bottom w:w="0" w:type="dxa"/>
            <w:right w:w="108" w:type="dxa"/>
          </w:tblCellMar>
        </w:tblPrEx>
        <w:trPr>
          <w:trHeight w:val="525" w:hRule="atLeast"/>
        </w:trPr>
        <w:tc>
          <w:tcPr>
            <w:tcW w:w="1487" w:type="dxa"/>
            <w:tcBorders>
              <w:top w:val="nil"/>
              <w:left w:val="single" w:color="auto" w:sz="4" w:space="0"/>
              <w:bottom w:val="single" w:color="auto" w:sz="4" w:space="0"/>
              <w:right w:val="single" w:color="auto" w:sz="4" w:space="0"/>
            </w:tcBorders>
            <w:noWrap w:val="0"/>
            <w:vAlign w:val="center"/>
          </w:tcPr>
          <w:p w14:paraId="2AE6ABAC">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情节较重</w:t>
            </w:r>
          </w:p>
        </w:tc>
        <w:tc>
          <w:tcPr>
            <w:tcW w:w="4937" w:type="dxa"/>
            <w:tcBorders>
              <w:top w:val="single" w:color="auto" w:sz="4" w:space="0"/>
              <w:left w:val="nil"/>
              <w:bottom w:val="single" w:color="auto" w:sz="4" w:space="0"/>
              <w:right w:val="single" w:color="000000" w:sz="4" w:space="0"/>
            </w:tcBorders>
            <w:noWrap w:val="0"/>
            <w:vAlign w:val="center"/>
          </w:tcPr>
          <w:p w14:paraId="7BF3011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Times New Roman" w:hAnsi="Times New Roman" w:eastAsia="仿宋_GB2312" w:cs="Times New Roman"/>
                <w:color w:val="auto"/>
                <w:kern w:val="0"/>
                <w:sz w:val="28"/>
                <w:szCs w:val="28"/>
              </w:rPr>
            </w:pPr>
            <w:r>
              <w:rPr>
                <w:rFonts w:hint="eastAsia" w:ascii="Times New Roman" w:hAnsi="Times New Roman" w:eastAsia="仿宋_GB2312" w:cs="Times New Roman"/>
                <w:color w:val="auto"/>
                <w:kern w:val="0"/>
                <w:sz w:val="28"/>
                <w:szCs w:val="28"/>
              </w:rPr>
              <w:t>涉水产品生产企业未按照卫生许可批准的技术参数组织生产的产品已销售</w:t>
            </w:r>
            <w:r>
              <w:rPr>
                <w:rFonts w:hint="eastAsia" w:ascii="Times New Roman" w:hAnsi="Times New Roman" w:eastAsia="仿宋_GB2312" w:cs="Times New Roman"/>
                <w:color w:val="auto"/>
                <w:kern w:val="0"/>
                <w:sz w:val="28"/>
                <w:szCs w:val="28"/>
                <w:lang w:eastAsia="zh-CN"/>
              </w:rPr>
              <w:t>，</w:t>
            </w:r>
            <w:r>
              <w:rPr>
                <w:rFonts w:hint="eastAsia" w:ascii="Times New Roman" w:hAnsi="Times New Roman" w:eastAsia="仿宋_GB2312" w:cs="Times New Roman"/>
                <w:color w:val="auto"/>
                <w:kern w:val="0"/>
                <w:sz w:val="28"/>
                <w:szCs w:val="28"/>
                <w:lang w:val="en-US" w:eastAsia="zh-CN"/>
              </w:rPr>
              <w:t>销售产品金额在10万元以上的，</w:t>
            </w:r>
            <w:r>
              <w:rPr>
                <w:rFonts w:ascii="仿宋_GB2312" w:hAnsi="宋体" w:eastAsia="仿宋_GB2312" w:cs="仿宋_GB2312"/>
                <w:i w:val="0"/>
                <w:iCs w:val="0"/>
                <w:caps w:val="0"/>
                <w:color w:val="auto"/>
                <w:spacing w:val="0"/>
                <w:sz w:val="28"/>
                <w:szCs w:val="28"/>
              </w:rPr>
              <w:t>具有《</w:t>
            </w:r>
            <w:r>
              <w:rPr>
                <w:rFonts w:hint="eastAsia" w:ascii="仿宋_GB2312" w:hAnsi="宋体" w:eastAsia="仿宋_GB2312" w:cs="仿宋_GB2312"/>
                <w:i w:val="0"/>
                <w:iCs w:val="0"/>
                <w:caps w:val="0"/>
                <w:color w:val="auto"/>
                <w:spacing w:val="0"/>
                <w:sz w:val="28"/>
                <w:szCs w:val="28"/>
                <w:lang w:val="en-US" w:eastAsia="zh-CN"/>
              </w:rPr>
              <w:t>江苏省卫生健康行政处罚</w:t>
            </w:r>
            <w:r>
              <w:rPr>
                <w:rFonts w:ascii="仿宋_GB2312" w:hAnsi="宋体" w:eastAsia="仿宋_GB2312" w:cs="仿宋_GB2312"/>
                <w:i w:val="0"/>
                <w:iCs w:val="0"/>
                <w:caps w:val="0"/>
                <w:color w:val="auto"/>
                <w:spacing w:val="0"/>
                <w:sz w:val="28"/>
                <w:szCs w:val="28"/>
              </w:rPr>
              <w:t>裁量适用办法》从重情形。</w:t>
            </w:r>
          </w:p>
        </w:tc>
        <w:tc>
          <w:tcPr>
            <w:tcW w:w="2356" w:type="dxa"/>
            <w:tcBorders>
              <w:top w:val="nil"/>
              <w:left w:val="nil"/>
              <w:bottom w:val="single" w:color="auto" w:sz="4" w:space="0"/>
              <w:right w:val="single" w:color="auto" w:sz="4" w:space="0"/>
            </w:tcBorders>
            <w:noWrap w:val="0"/>
            <w:vAlign w:val="center"/>
          </w:tcPr>
          <w:p w14:paraId="3622B86D">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没收违法所得，2.25万元≤罚款≤3万元</w:t>
            </w:r>
          </w:p>
        </w:tc>
      </w:tr>
    </w:tbl>
    <w:p w14:paraId="6FFAA632">
      <w:pPr>
        <w:spacing w:line="560" w:lineRule="exact"/>
        <w:ind w:firstLine="0" w:firstLineChars="0"/>
        <w:rPr>
          <w:rFonts w:ascii="Times New Roman" w:hAnsi="Times New Roman" w:eastAsia="仿宋_GB2312"/>
          <w:color w:val="auto"/>
          <w:sz w:val="32"/>
          <w:szCs w:val="32"/>
        </w:rPr>
      </w:pPr>
    </w:p>
    <w:p w14:paraId="7899A519">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案由六</w:t>
      </w:r>
      <w:r>
        <w:rPr>
          <w:rFonts w:hint="eastAsia" w:ascii="方正楷体_GBK" w:hAnsi="方正楷体_GBK" w:eastAsia="方正楷体_GBK" w:cs="方正楷体_GBK"/>
          <w:color w:val="auto"/>
          <w:sz w:val="32"/>
          <w:szCs w:val="32"/>
        </w:rPr>
        <w:t>：现制现售饮用水经营者、涉水产品经营者擅自增加、减少、改变涉水产品的水处理单元或者部件的</w:t>
      </w:r>
    </w:p>
    <w:p w14:paraId="3F24F500">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05C87CE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四条第三项规定：“违反本条例规定，有下列情形之一的，由卫生健康（疾病预防控制）部门责令改正，没收违法所得，并处五千元以上三万元以下罚款：（三）现制现售饮用水经营者、涉水产品经营者擅自增加、减少、改变涉水产品的水处理单元或者部件的。”</w:t>
      </w:r>
    </w:p>
    <w:p w14:paraId="5EDC147C">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9074" w:type="dxa"/>
        <w:tblInd w:w="0" w:type="dxa"/>
        <w:tblLayout w:type="fixed"/>
        <w:tblCellMar>
          <w:top w:w="0" w:type="dxa"/>
          <w:left w:w="108" w:type="dxa"/>
          <w:bottom w:w="0" w:type="dxa"/>
          <w:right w:w="108" w:type="dxa"/>
        </w:tblCellMar>
      </w:tblPr>
      <w:tblGrid>
        <w:gridCol w:w="1374"/>
        <w:gridCol w:w="5113"/>
        <w:gridCol w:w="2587"/>
      </w:tblGrid>
      <w:tr w14:paraId="6AA4510A">
        <w:tblPrEx>
          <w:tblCellMar>
            <w:top w:w="0" w:type="dxa"/>
            <w:left w:w="108" w:type="dxa"/>
            <w:bottom w:w="0" w:type="dxa"/>
            <w:right w:w="108" w:type="dxa"/>
          </w:tblCellMar>
        </w:tblPrEx>
        <w:trPr>
          <w:trHeight w:val="525" w:hRule="atLeast"/>
        </w:trPr>
        <w:tc>
          <w:tcPr>
            <w:tcW w:w="1374" w:type="dxa"/>
            <w:tcBorders>
              <w:top w:val="single" w:color="auto" w:sz="4" w:space="0"/>
              <w:left w:val="single" w:color="auto" w:sz="4" w:space="0"/>
              <w:bottom w:val="nil"/>
              <w:right w:val="single" w:color="auto" w:sz="4" w:space="0"/>
            </w:tcBorders>
            <w:noWrap/>
            <w:vAlign w:val="center"/>
          </w:tcPr>
          <w:p w14:paraId="7C54C289">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5113" w:type="dxa"/>
            <w:tcBorders>
              <w:top w:val="single" w:color="auto" w:sz="4" w:space="0"/>
              <w:left w:val="nil"/>
              <w:bottom w:val="single" w:color="auto" w:sz="4" w:space="0"/>
              <w:right w:val="single" w:color="000000" w:sz="4" w:space="0"/>
            </w:tcBorders>
            <w:noWrap/>
            <w:vAlign w:val="center"/>
          </w:tcPr>
          <w:p w14:paraId="6384A2E8">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587" w:type="dxa"/>
            <w:tcBorders>
              <w:top w:val="single" w:color="auto" w:sz="4" w:space="0"/>
              <w:left w:val="nil"/>
              <w:bottom w:val="nil"/>
              <w:right w:val="single" w:color="auto" w:sz="4" w:space="0"/>
            </w:tcBorders>
            <w:noWrap w:val="0"/>
            <w:vAlign w:val="center"/>
          </w:tcPr>
          <w:p w14:paraId="7BC3DDF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1BAA8046">
        <w:tblPrEx>
          <w:tblCellMar>
            <w:top w:w="0" w:type="dxa"/>
            <w:left w:w="108" w:type="dxa"/>
            <w:bottom w:w="0" w:type="dxa"/>
            <w:right w:w="108" w:type="dxa"/>
          </w:tblCellMar>
        </w:tblPrEx>
        <w:trPr>
          <w:trHeight w:val="636" w:hRule="atLeast"/>
        </w:trPr>
        <w:tc>
          <w:tcPr>
            <w:tcW w:w="1374" w:type="dxa"/>
            <w:vMerge w:val="restart"/>
            <w:tcBorders>
              <w:top w:val="single" w:color="auto" w:sz="4" w:space="0"/>
              <w:left w:val="single" w:color="auto" w:sz="4" w:space="0"/>
              <w:right w:val="single" w:color="auto" w:sz="4" w:space="0"/>
            </w:tcBorders>
            <w:noWrap w:val="0"/>
            <w:vAlign w:val="center"/>
          </w:tcPr>
          <w:p w14:paraId="24A5D96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5113" w:type="dxa"/>
            <w:tcBorders>
              <w:top w:val="single" w:color="auto" w:sz="4" w:space="0"/>
              <w:left w:val="nil"/>
              <w:bottom w:val="single" w:color="auto" w:sz="4" w:space="0"/>
              <w:right w:val="single" w:color="000000" w:sz="4" w:space="0"/>
            </w:tcBorders>
            <w:noWrap w:val="0"/>
            <w:vAlign w:val="center"/>
          </w:tcPr>
          <w:p w14:paraId="42C9234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rPr>
            </w:pPr>
            <w:r>
              <w:rPr>
                <w:rFonts w:hint="eastAsia" w:ascii="方正仿宋_GBK" w:hAnsi="方正仿宋_GBK" w:eastAsia="方正仿宋_GBK" w:cs="方正仿宋_GBK"/>
                <w:color w:val="auto"/>
                <w:kern w:val="0"/>
                <w:sz w:val="28"/>
                <w:szCs w:val="28"/>
              </w:rPr>
              <w:t>现制现售饮用水经营者擅自增加、减少、改变涉水产品的水处理单元或者部件</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lang w:val="en-US" w:eastAsia="zh-CN"/>
              </w:rPr>
              <w:t>涉及2台设备以内的</w:t>
            </w:r>
          </w:p>
        </w:tc>
        <w:tc>
          <w:tcPr>
            <w:tcW w:w="2587" w:type="dxa"/>
            <w:vMerge w:val="restart"/>
            <w:tcBorders>
              <w:top w:val="single" w:color="auto" w:sz="4" w:space="0"/>
              <w:left w:val="nil"/>
              <w:right w:val="single" w:color="auto" w:sz="4" w:space="0"/>
            </w:tcBorders>
            <w:noWrap w:val="0"/>
            <w:vAlign w:val="center"/>
          </w:tcPr>
          <w:p w14:paraId="6DA0422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没收违法所得，0.5万元≤罚款＜1.25万元</w:t>
            </w:r>
          </w:p>
        </w:tc>
      </w:tr>
      <w:tr w14:paraId="6989DB89">
        <w:tblPrEx>
          <w:tblCellMar>
            <w:top w:w="0" w:type="dxa"/>
            <w:left w:w="108" w:type="dxa"/>
            <w:bottom w:w="0" w:type="dxa"/>
            <w:right w:w="108" w:type="dxa"/>
          </w:tblCellMar>
        </w:tblPrEx>
        <w:trPr>
          <w:trHeight w:val="310" w:hRule="atLeast"/>
        </w:trPr>
        <w:tc>
          <w:tcPr>
            <w:tcW w:w="1374" w:type="dxa"/>
            <w:vMerge w:val="continue"/>
            <w:tcBorders>
              <w:left w:val="single" w:color="auto" w:sz="4" w:space="0"/>
              <w:bottom w:val="single" w:color="auto" w:sz="4" w:space="0"/>
              <w:right w:val="single" w:color="auto" w:sz="4" w:space="0"/>
            </w:tcBorders>
            <w:noWrap w:val="0"/>
            <w:vAlign w:val="center"/>
          </w:tcPr>
          <w:p w14:paraId="35A2D07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5113" w:type="dxa"/>
            <w:tcBorders>
              <w:top w:val="single" w:color="auto" w:sz="4" w:space="0"/>
              <w:left w:val="nil"/>
              <w:bottom w:val="single" w:color="auto" w:sz="4" w:space="0"/>
              <w:right w:val="single" w:color="000000" w:sz="4" w:space="0"/>
            </w:tcBorders>
            <w:noWrap w:val="0"/>
            <w:vAlign w:val="center"/>
          </w:tcPr>
          <w:p w14:paraId="7686662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rPr>
            </w:pPr>
            <w:r>
              <w:rPr>
                <w:rFonts w:hint="eastAsia" w:ascii="方正仿宋_GBK" w:hAnsi="方正仿宋_GBK" w:eastAsia="方正仿宋_GBK" w:cs="方正仿宋_GBK"/>
                <w:color w:val="auto"/>
                <w:kern w:val="0"/>
                <w:sz w:val="28"/>
                <w:szCs w:val="28"/>
              </w:rPr>
              <w:t>涉水产品经营者擅自增加、减少、改变涉水产品的水处理单元或者部件</w:t>
            </w:r>
            <w:r>
              <w:rPr>
                <w:rFonts w:hint="eastAsia" w:ascii="方正仿宋_GBK" w:hAnsi="方正仿宋_GBK" w:eastAsia="方正仿宋_GBK" w:cs="方正仿宋_GBK"/>
                <w:color w:val="auto"/>
                <w:kern w:val="0"/>
                <w:sz w:val="28"/>
                <w:szCs w:val="28"/>
                <w:lang w:val="en-US" w:eastAsia="zh-CN"/>
              </w:rPr>
              <w:t>，销售涉水产品金额在2万元以内的</w:t>
            </w:r>
          </w:p>
        </w:tc>
        <w:tc>
          <w:tcPr>
            <w:tcW w:w="2587" w:type="dxa"/>
            <w:vMerge w:val="continue"/>
            <w:tcBorders>
              <w:left w:val="nil"/>
              <w:bottom w:val="single" w:color="auto" w:sz="4" w:space="0"/>
              <w:right w:val="single" w:color="auto" w:sz="4" w:space="0"/>
            </w:tcBorders>
            <w:noWrap w:val="0"/>
            <w:vAlign w:val="center"/>
          </w:tcPr>
          <w:p w14:paraId="3B66E6A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r>
      <w:tr w14:paraId="58D663B9">
        <w:tblPrEx>
          <w:tblCellMar>
            <w:top w:w="0" w:type="dxa"/>
            <w:left w:w="108" w:type="dxa"/>
            <w:bottom w:w="0" w:type="dxa"/>
            <w:right w:w="108" w:type="dxa"/>
          </w:tblCellMar>
        </w:tblPrEx>
        <w:trPr>
          <w:trHeight w:val="608" w:hRule="atLeast"/>
        </w:trPr>
        <w:tc>
          <w:tcPr>
            <w:tcW w:w="1374" w:type="dxa"/>
            <w:vMerge w:val="restart"/>
            <w:tcBorders>
              <w:top w:val="single" w:color="auto" w:sz="4" w:space="0"/>
              <w:left w:val="single" w:color="auto" w:sz="4" w:space="0"/>
              <w:right w:val="single" w:color="auto" w:sz="4" w:space="0"/>
            </w:tcBorders>
            <w:noWrap w:val="0"/>
            <w:vAlign w:val="center"/>
          </w:tcPr>
          <w:p w14:paraId="21B81646">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5113" w:type="dxa"/>
            <w:tcBorders>
              <w:top w:val="single" w:color="auto" w:sz="4" w:space="0"/>
              <w:left w:val="nil"/>
              <w:bottom w:val="single" w:color="auto" w:sz="4" w:space="0"/>
              <w:right w:val="single" w:color="000000" w:sz="4" w:space="0"/>
            </w:tcBorders>
            <w:noWrap w:val="0"/>
            <w:vAlign w:val="center"/>
          </w:tcPr>
          <w:p w14:paraId="68C53CB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现制现售饮用水经营者擅自增加、减少、改变涉水产品的水处理单元或者部件</w:t>
            </w:r>
            <w:r>
              <w:rPr>
                <w:rFonts w:hint="eastAsia" w:ascii="方正仿宋_GBK" w:hAnsi="方正仿宋_GBK" w:eastAsia="方正仿宋_GBK" w:cs="方正仿宋_GBK"/>
                <w:color w:val="auto"/>
                <w:kern w:val="0"/>
                <w:sz w:val="28"/>
                <w:szCs w:val="28"/>
                <w:lang w:val="en-US" w:eastAsia="zh-CN"/>
              </w:rPr>
              <w:t>，涉及2-5台设备的</w:t>
            </w:r>
          </w:p>
        </w:tc>
        <w:tc>
          <w:tcPr>
            <w:tcW w:w="2587" w:type="dxa"/>
            <w:vMerge w:val="restart"/>
            <w:tcBorders>
              <w:top w:val="single" w:color="auto" w:sz="4" w:space="0"/>
              <w:left w:val="nil"/>
              <w:right w:val="single" w:color="auto" w:sz="4" w:space="0"/>
            </w:tcBorders>
            <w:noWrap w:val="0"/>
            <w:vAlign w:val="center"/>
          </w:tcPr>
          <w:p w14:paraId="0AB8790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没收违法所得，1.25万元≤罚款＜2.25万元</w:t>
            </w:r>
          </w:p>
        </w:tc>
      </w:tr>
      <w:tr w14:paraId="48FE9CC2">
        <w:tblPrEx>
          <w:tblCellMar>
            <w:top w:w="0" w:type="dxa"/>
            <w:left w:w="108" w:type="dxa"/>
            <w:bottom w:w="0" w:type="dxa"/>
            <w:right w:w="108" w:type="dxa"/>
          </w:tblCellMar>
        </w:tblPrEx>
        <w:trPr>
          <w:trHeight w:val="338" w:hRule="atLeast"/>
        </w:trPr>
        <w:tc>
          <w:tcPr>
            <w:tcW w:w="1374" w:type="dxa"/>
            <w:vMerge w:val="continue"/>
            <w:tcBorders>
              <w:left w:val="single" w:color="auto" w:sz="4" w:space="0"/>
              <w:bottom w:val="single" w:color="auto" w:sz="4" w:space="0"/>
              <w:right w:val="single" w:color="auto" w:sz="4" w:space="0"/>
            </w:tcBorders>
            <w:noWrap w:val="0"/>
            <w:vAlign w:val="center"/>
          </w:tcPr>
          <w:p w14:paraId="2D11CC9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5113" w:type="dxa"/>
            <w:tcBorders>
              <w:top w:val="single" w:color="auto" w:sz="4" w:space="0"/>
              <w:left w:val="nil"/>
              <w:bottom w:val="single" w:color="auto" w:sz="4" w:space="0"/>
              <w:right w:val="single" w:color="000000" w:sz="4" w:space="0"/>
            </w:tcBorders>
            <w:noWrap w:val="0"/>
            <w:vAlign w:val="center"/>
          </w:tcPr>
          <w:p w14:paraId="6077421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涉水产品经营者擅自增加、减少、改变涉水产品的水处理单元或者部件</w:t>
            </w:r>
            <w:r>
              <w:rPr>
                <w:rFonts w:hint="eastAsia" w:ascii="方正仿宋_GBK" w:hAnsi="方正仿宋_GBK" w:eastAsia="方正仿宋_GBK" w:cs="方正仿宋_GBK"/>
                <w:color w:val="auto"/>
                <w:kern w:val="0"/>
                <w:sz w:val="28"/>
                <w:szCs w:val="28"/>
                <w:lang w:val="en-US" w:eastAsia="zh-CN"/>
              </w:rPr>
              <w:t>，销售涉水产品金额在2-5万元的</w:t>
            </w:r>
          </w:p>
        </w:tc>
        <w:tc>
          <w:tcPr>
            <w:tcW w:w="2587" w:type="dxa"/>
            <w:vMerge w:val="continue"/>
            <w:tcBorders>
              <w:left w:val="nil"/>
              <w:bottom w:val="single" w:color="auto" w:sz="4" w:space="0"/>
              <w:right w:val="single" w:color="auto" w:sz="4" w:space="0"/>
            </w:tcBorders>
            <w:noWrap w:val="0"/>
            <w:vAlign w:val="center"/>
          </w:tcPr>
          <w:p w14:paraId="46145BB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r>
      <w:tr w14:paraId="7FFCD5F0">
        <w:tblPrEx>
          <w:tblCellMar>
            <w:top w:w="0" w:type="dxa"/>
            <w:left w:w="108" w:type="dxa"/>
            <w:bottom w:w="0" w:type="dxa"/>
            <w:right w:w="108" w:type="dxa"/>
          </w:tblCellMar>
        </w:tblPrEx>
        <w:trPr>
          <w:trHeight w:val="686" w:hRule="atLeast"/>
        </w:trPr>
        <w:tc>
          <w:tcPr>
            <w:tcW w:w="1374" w:type="dxa"/>
            <w:vMerge w:val="restart"/>
            <w:tcBorders>
              <w:top w:val="nil"/>
              <w:left w:val="single" w:color="auto" w:sz="4" w:space="0"/>
              <w:right w:val="single" w:color="auto" w:sz="4" w:space="0"/>
            </w:tcBorders>
            <w:noWrap w:val="0"/>
            <w:vAlign w:val="center"/>
          </w:tcPr>
          <w:p w14:paraId="5BE65D5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5113" w:type="dxa"/>
            <w:tcBorders>
              <w:top w:val="single" w:color="auto" w:sz="4" w:space="0"/>
              <w:left w:val="nil"/>
              <w:bottom w:val="single" w:color="auto" w:sz="4" w:space="0"/>
              <w:right w:val="single" w:color="000000" w:sz="4" w:space="0"/>
            </w:tcBorders>
            <w:noWrap w:val="0"/>
            <w:vAlign w:val="center"/>
          </w:tcPr>
          <w:p w14:paraId="26C36F0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现制现售饮用水经营者擅自增加、减少、改变涉水产品的水处理单元或者部件</w:t>
            </w:r>
            <w:r>
              <w:rPr>
                <w:rFonts w:hint="eastAsia" w:ascii="方正仿宋_GBK" w:hAnsi="方正仿宋_GBK" w:eastAsia="方正仿宋_GBK" w:cs="方正仿宋_GBK"/>
                <w:color w:val="auto"/>
                <w:kern w:val="0"/>
                <w:sz w:val="28"/>
                <w:szCs w:val="28"/>
                <w:lang w:val="en-US" w:eastAsia="zh-CN"/>
              </w:rPr>
              <w:t>，涉及5台设备以上的</w:t>
            </w:r>
          </w:p>
        </w:tc>
        <w:tc>
          <w:tcPr>
            <w:tcW w:w="2587" w:type="dxa"/>
            <w:vMerge w:val="restart"/>
            <w:tcBorders>
              <w:top w:val="nil"/>
              <w:left w:val="nil"/>
              <w:right w:val="single" w:color="auto" w:sz="4" w:space="0"/>
            </w:tcBorders>
            <w:noWrap w:val="0"/>
            <w:vAlign w:val="center"/>
          </w:tcPr>
          <w:p w14:paraId="5D1EB134">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没收违法所得，2.25万元≤罚款≤3万元</w:t>
            </w:r>
          </w:p>
        </w:tc>
      </w:tr>
      <w:tr w14:paraId="1FBC8C6C">
        <w:tblPrEx>
          <w:tblCellMar>
            <w:top w:w="0" w:type="dxa"/>
            <w:left w:w="108" w:type="dxa"/>
            <w:bottom w:w="0" w:type="dxa"/>
            <w:right w:w="108" w:type="dxa"/>
          </w:tblCellMar>
        </w:tblPrEx>
        <w:trPr>
          <w:trHeight w:val="270" w:hRule="atLeast"/>
        </w:trPr>
        <w:tc>
          <w:tcPr>
            <w:tcW w:w="1374" w:type="dxa"/>
            <w:vMerge w:val="continue"/>
            <w:tcBorders>
              <w:left w:val="single" w:color="auto" w:sz="4" w:space="0"/>
              <w:bottom w:val="single" w:color="auto" w:sz="4" w:space="0"/>
              <w:right w:val="single" w:color="auto" w:sz="4" w:space="0"/>
            </w:tcBorders>
            <w:noWrap w:val="0"/>
            <w:vAlign w:val="center"/>
          </w:tcPr>
          <w:p w14:paraId="6646B596">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5113" w:type="dxa"/>
            <w:tcBorders>
              <w:top w:val="single" w:color="auto" w:sz="4" w:space="0"/>
              <w:left w:val="nil"/>
              <w:bottom w:val="single" w:color="auto" w:sz="4" w:space="0"/>
              <w:right w:val="single" w:color="000000" w:sz="4" w:space="0"/>
            </w:tcBorders>
            <w:noWrap w:val="0"/>
            <w:vAlign w:val="center"/>
          </w:tcPr>
          <w:p w14:paraId="7A197C9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涉水产品经营者擅自增加、减少、改变涉水产品的水处理单元或者部件</w:t>
            </w:r>
            <w:r>
              <w:rPr>
                <w:rFonts w:hint="eastAsia" w:ascii="方正仿宋_GBK" w:hAnsi="方正仿宋_GBK" w:eastAsia="方正仿宋_GBK" w:cs="方正仿宋_GBK"/>
                <w:color w:val="auto"/>
                <w:kern w:val="0"/>
                <w:sz w:val="28"/>
                <w:szCs w:val="28"/>
                <w:lang w:val="en-US" w:eastAsia="zh-CN"/>
              </w:rPr>
              <w:t>，销售涉水产品金额在5万元以上的</w:t>
            </w:r>
          </w:p>
        </w:tc>
        <w:tc>
          <w:tcPr>
            <w:tcW w:w="2587" w:type="dxa"/>
            <w:vMerge w:val="continue"/>
            <w:tcBorders>
              <w:left w:val="nil"/>
              <w:bottom w:val="single" w:color="auto" w:sz="4" w:space="0"/>
              <w:right w:val="single" w:color="auto" w:sz="4" w:space="0"/>
            </w:tcBorders>
            <w:noWrap w:val="0"/>
            <w:vAlign w:val="center"/>
          </w:tcPr>
          <w:p w14:paraId="02644824">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r>
    </w:tbl>
    <w:p w14:paraId="549DC392">
      <w:pPr>
        <w:spacing w:line="560" w:lineRule="exact"/>
        <w:ind w:firstLine="640" w:firstLineChars="200"/>
        <w:rPr>
          <w:rFonts w:ascii="Times New Roman" w:hAnsi="Times New Roman" w:eastAsia="仿宋_GB2312"/>
          <w:color w:val="auto"/>
          <w:sz w:val="32"/>
          <w:szCs w:val="32"/>
        </w:rPr>
      </w:pPr>
    </w:p>
    <w:p w14:paraId="1B22311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案由七</w:t>
      </w:r>
      <w:r>
        <w:rPr>
          <w:rFonts w:hint="eastAsia" w:ascii="方正楷体_GBK" w:hAnsi="方正楷体_GBK" w:eastAsia="方正楷体_GBK" w:cs="方正楷体_GBK"/>
          <w:color w:val="auto"/>
          <w:sz w:val="32"/>
          <w:szCs w:val="32"/>
        </w:rPr>
        <w:t>：涉水产品生产经营者伪造、变造或者冒用卫生许可批准文件、卫生安全检验报告，或者使用国家禁用的有毒有害原材料或者回收的废旧材料生产涉水产品的</w:t>
      </w:r>
    </w:p>
    <w:p w14:paraId="7B15F73E">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50CDC92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《江苏省生活饮用水卫生监督条例》第三十五条规定：“违反本条例规定，</w:t>
      </w:r>
      <w:bookmarkStart w:id="8" w:name="OLE_LINK2"/>
      <w:r>
        <w:rPr>
          <w:rFonts w:hint="eastAsia" w:ascii="方正仿宋_GBK" w:hAnsi="方正仿宋_GBK" w:eastAsia="方正仿宋_GBK" w:cs="方正仿宋_GBK"/>
          <w:color w:val="auto"/>
          <w:sz w:val="32"/>
          <w:szCs w:val="32"/>
        </w:rPr>
        <w:t>涉水产品生产经营者伪造、变造或者冒用卫生许可批准文件、卫生安全检验报告，或者使用国家禁用的有毒有害原材料或者回收的废旧材料生产涉水产品的</w:t>
      </w:r>
      <w:bookmarkEnd w:id="8"/>
      <w:r>
        <w:rPr>
          <w:rFonts w:hint="eastAsia" w:ascii="方正仿宋_GBK" w:hAnsi="方正仿宋_GBK" w:eastAsia="方正仿宋_GBK" w:cs="方正仿宋_GBK"/>
          <w:color w:val="auto"/>
          <w:sz w:val="32"/>
          <w:szCs w:val="32"/>
        </w:rPr>
        <w:t>，由卫生健康（疾病预防控制）部门责令改正，没收违法所得，并处三万元以上十万元以下罚款；已取得卫生许可的，原发证部门可以吊销卫生许可。”</w:t>
      </w:r>
    </w:p>
    <w:p w14:paraId="76457340">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lang w:val="en-US" w:eastAsia="zh-CN"/>
        </w:rPr>
        <w:t>二、</w:t>
      </w:r>
      <w:r>
        <w:rPr>
          <w:rFonts w:hint="eastAsia" w:ascii="方正仿宋_GBK" w:hAnsi="方正仿宋_GBK" w:eastAsia="方正仿宋_GBK" w:cs="方正仿宋_GBK"/>
          <w:b/>
          <w:color w:val="auto"/>
          <w:sz w:val="32"/>
          <w:szCs w:val="32"/>
        </w:rPr>
        <w:t>裁量权基准</w:t>
      </w:r>
    </w:p>
    <w:tbl>
      <w:tblPr>
        <w:tblStyle w:val="6"/>
        <w:tblW w:w="9099" w:type="dxa"/>
        <w:tblInd w:w="0" w:type="dxa"/>
        <w:tblLayout w:type="fixed"/>
        <w:tblCellMar>
          <w:top w:w="0" w:type="dxa"/>
          <w:left w:w="108" w:type="dxa"/>
          <w:bottom w:w="0" w:type="dxa"/>
          <w:right w:w="108" w:type="dxa"/>
        </w:tblCellMar>
      </w:tblPr>
      <w:tblGrid>
        <w:gridCol w:w="1399"/>
        <w:gridCol w:w="4761"/>
        <w:gridCol w:w="2939"/>
      </w:tblGrid>
      <w:tr w14:paraId="27DB3A97">
        <w:tblPrEx>
          <w:tblCellMar>
            <w:top w:w="0" w:type="dxa"/>
            <w:left w:w="108" w:type="dxa"/>
            <w:bottom w:w="0" w:type="dxa"/>
            <w:right w:w="108" w:type="dxa"/>
          </w:tblCellMar>
        </w:tblPrEx>
        <w:trPr>
          <w:trHeight w:val="525" w:hRule="atLeast"/>
        </w:trPr>
        <w:tc>
          <w:tcPr>
            <w:tcW w:w="1399" w:type="dxa"/>
            <w:tcBorders>
              <w:top w:val="single" w:color="auto" w:sz="4" w:space="0"/>
              <w:left w:val="single" w:color="auto" w:sz="4" w:space="0"/>
              <w:bottom w:val="nil"/>
              <w:right w:val="single" w:color="auto" w:sz="4" w:space="0"/>
            </w:tcBorders>
            <w:noWrap/>
            <w:vAlign w:val="center"/>
          </w:tcPr>
          <w:p w14:paraId="3025B2A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裁量阶次</w:t>
            </w:r>
          </w:p>
        </w:tc>
        <w:tc>
          <w:tcPr>
            <w:tcW w:w="4761" w:type="dxa"/>
            <w:tcBorders>
              <w:top w:val="single" w:color="auto" w:sz="4" w:space="0"/>
              <w:left w:val="nil"/>
              <w:bottom w:val="single" w:color="auto" w:sz="4" w:space="0"/>
              <w:right w:val="single" w:color="000000" w:sz="4" w:space="0"/>
            </w:tcBorders>
            <w:noWrap/>
            <w:vAlign w:val="center"/>
          </w:tcPr>
          <w:p w14:paraId="680ED53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适用条件</w:t>
            </w:r>
          </w:p>
        </w:tc>
        <w:tc>
          <w:tcPr>
            <w:tcW w:w="2939" w:type="dxa"/>
            <w:tcBorders>
              <w:top w:val="single" w:color="auto" w:sz="4" w:space="0"/>
              <w:left w:val="nil"/>
              <w:bottom w:val="nil"/>
              <w:right w:val="single" w:color="auto" w:sz="4" w:space="0"/>
            </w:tcBorders>
            <w:noWrap w:val="0"/>
            <w:vAlign w:val="center"/>
          </w:tcPr>
          <w:p w14:paraId="4E140FD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Times New Roman"/>
                <w:color w:val="auto"/>
                <w:kern w:val="0"/>
                <w:sz w:val="28"/>
                <w:szCs w:val="28"/>
              </w:rPr>
            </w:pPr>
            <w:r>
              <w:rPr>
                <w:rFonts w:ascii="Times New Roman" w:hAnsi="Times New Roman" w:eastAsia="黑体" w:cs="Times New Roman"/>
                <w:color w:val="auto"/>
                <w:kern w:val="0"/>
                <w:sz w:val="28"/>
                <w:szCs w:val="28"/>
              </w:rPr>
              <w:t>具体标准</w:t>
            </w:r>
          </w:p>
        </w:tc>
      </w:tr>
      <w:tr w14:paraId="684C6B2B">
        <w:tblPrEx>
          <w:tblCellMar>
            <w:top w:w="0" w:type="dxa"/>
            <w:left w:w="108" w:type="dxa"/>
            <w:bottom w:w="0" w:type="dxa"/>
            <w:right w:w="108" w:type="dxa"/>
          </w:tblCellMar>
        </w:tblPrEx>
        <w:trPr>
          <w:trHeight w:val="495" w:hRule="atLeast"/>
        </w:trPr>
        <w:tc>
          <w:tcPr>
            <w:tcW w:w="1399" w:type="dxa"/>
            <w:tcBorders>
              <w:top w:val="single" w:color="auto" w:sz="4" w:space="0"/>
              <w:left w:val="single" w:color="auto" w:sz="4" w:space="0"/>
              <w:bottom w:val="single" w:color="auto" w:sz="4" w:space="0"/>
              <w:right w:val="single" w:color="auto" w:sz="4" w:space="0"/>
            </w:tcBorders>
            <w:noWrap w:val="0"/>
            <w:vAlign w:val="center"/>
          </w:tcPr>
          <w:p w14:paraId="1828E6F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情节较轻</w:t>
            </w:r>
          </w:p>
        </w:tc>
        <w:tc>
          <w:tcPr>
            <w:tcW w:w="4761" w:type="dxa"/>
            <w:tcBorders>
              <w:top w:val="single" w:color="auto" w:sz="4" w:space="0"/>
              <w:left w:val="nil"/>
              <w:bottom w:val="single" w:color="auto" w:sz="4" w:space="0"/>
              <w:right w:val="single" w:color="000000" w:sz="4" w:space="0"/>
            </w:tcBorders>
            <w:noWrap w:val="0"/>
            <w:vAlign w:val="center"/>
          </w:tcPr>
          <w:p w14:paraId="66902290">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bookmarkStart w:id="9" w:name="OLE_LINK4"/>
            <w:r>
              <w:rPr>
                <w:rFonts w:hint="eastAsia" w:ascii="Times New Roman" w:hAnsi="Times New Roman" w:eastAsia="仿宋_GB2312" w:cs="Times New Roman"/>
                <w:color w:val="auto"/>
                <w:kern w:val="0"/>
                <w:sz w:val="28"/>
                <w:szCs w:val="28"/>
              </w:rPr>
              <w:t>涉水产品生产经营者伪造、变造或者冒用卫生许可批准文件、卫生安全检验报告</w:t>
            </w:r>
            <w:r>
              <w:rPr>
                <w:rFonts w:hint="eastAsia" w:ascii="Times New Roman" w:hAnsi="Times New Roman" w:eastAsia="仿宋_GB2312"/>
                <w:color w:val="auto"/>
                <w:kern w:val="0"/>
                <w:sz w:val="28"/>
                <w:szCs w:val="28"/>
                <w:lang w:val="en-US" w:eastAsia="zh-CN"/>
              </w:rPr>
              <w:t>涉及</w:t>
            </w:r>
            <w:r>
              <w:rPr>
                <w:rFonts w:hint="eastAsia" w:ascii="Times New Roman" w:hAnsi="Times New Roman" w:eastAsia="仿宋_GB2312" w:cs="Times New Roman"/>
                <w:color w:val="auto"/>
                <w:kern w:val="0"/>
                <w:sz w:val="28"/>
                <w:szCs w:val="28"/>
              </w:rPr>
              <w:t>涉水产品的</w:t>
            </w:r>
            <w:r>
              <w:rPr>
                <w:rFonts w:hint="eastAsia" w:ascii="Times New Roman" w:hAnsi="Times New Roman" w:eastAsia="仿宋_GB2312" w:cs="Times New Roman"/>
                <w:color w:val="auto"/>
                <w:kern w:val="0"/>
                <w:sz w:val="28"/>
                <w:szCs w:val="28"/>
                <w:lang w:val="en-US" w:eastAsia="zh-CN"/>
              </w:rPr>
              <w:t>数量在</w:t>
            </w:r>
            <w:r>
              <w:rPr>
                <w:rFonts w:hint="eastAsia" w:ascii="Times New Roman" w:hAnsi="Times New Roman" w:eastAsia="仿宋_GB2312"/>
                <w:color w:val="auto"/>
                <w:kern w:val="0"/>
                <w:sz w:val="28"/>
                <w:szCs w:val="28"/>
                <w:lang w:val="en-US" w:eastAsia="zh-CN"/>
              </w:rPr>
              <w:t>10</w:t>
            </w:r>
            <w:r>
              <w:rPr>
                <w:rFonts w:ascii="Times New Roman" w:hAnsi="Times New Roman" w:eastAsia="仿宋_GB2312"/>
                <w:color w:val="auto"/>
                <w:kern w:val="0"/>
                <w:sz w:val="28"/>
                <w:szCs w:val="28"/>
              </w:rPr>
              <w:t>件以内的</w:t>
            </w:r>
            <w:bookmarkEnd w:id="9"/>
          </w:p>
        </w:tc>
        <w:tc>
          <w:tcPr>
            <w:tcW w:w="2939" w:type="dxa"/>
            <w:tcBorders>
              <w:top w:val="single" w:color="auto" w:sz="4" w:space="0"/>
              <w:left w:val="nil"/>
              <w:bottom w:val="single" w:color="auto" w:sz="4" w:space="0"/>
              <w:right w:val="single" w:color="auto" w:sz="4" w:space="0"/>
            </w:tcBorders>
            <w:noWrap w:val="0"/>
            <w:vAlign w:val="center"/>
          </w:tcPr>
          <w:p w14:paraId="4D03EE4F">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没收违法所得，3万元≤罚款＜5.1万元</w:t>
            </w:r>
          </w:p>
        </w:tc>
      </w:tr>
      <w:tr w14:paraId="692D85BB">
        <w:tblPrEx>
          <w:tblCellMar>
            <w:top w:w="0" w:type="dxa"/>
            <w:left w:w="108" w:type="dxa"/>
            <w:bottom w:w="0" w:type="dxa"/>
            <w:right w:w="108" w:type="dxa"/>
          </w:tblCellMar>
        </w:tblPrEx>
        <w:trPr>
          <w:trHeight w:val="495" w:hRule="atLeast"/>
        </w:trPr>
        <w:tc>
          <w:tcPr>
            <w:tcW w:w="1399" w:type="dxa"/>
            <w:tcBorders>
              <w:top w:val="single" w:color="auto" w:sz="4" w:space="0"/>
              <w:left w:val="single" w:color="auto" w:sz="4" w:space="0"/>
              <w:bottom w:val="single" w:color="auto" w:sz="4" w:space="0"/>
              <w:right w:val="single" w:color="auto" w:sz="4" w:space="0"/>
            </w:tcBorders>
            <w:noWrap w:val="0"/>
            <w:vAlign w:val="center"/>
          </w:tcPr>
          <w:p w14:paraId="6955689C">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情节一般</w:t>
            </w:r>
          </w:p>
        </w:tc>
        <w:tc>
          <w:tcPr>
            <w:tcW w:w="4761" w:type="dxa"/>
            <w:tcBorders>
              <w:top w:val="single" w:color="auto" w:sz="4" w:space="0"/>
              <w:left w:val="nil"/>
              <w:bottom w:val="single" w:color="auto" w:sz="4" w:space="0"/>
              <w:right w:val="single" w:color="000000" w:sz="4" w:space="0"/>
            </w:tcBorders>
            <w:noWrap w:val="0"/>
            <w:vAlign w:val="center"/>
          </w:tcPr>
          <w:p w14:paraId="7599DE7F">
            <w:pPr>
              <w:keepNext w:val="0"/>
              <w:keepLines w:val="0"/>
              <w:pageBreakBefore w:val="0"/>
              <w:widowControl/>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color w:val="auto"/>
                <w:kern w:val="0"/>
                <w:sz w:val="28"/>
                <w:szCs w:val="28"/>
                <w:lang w:val="en-US" w:eastAsia="zh-CN"/>
              </w:rPr>
            </w:pPr>
            <w:r>
              <w:rPr>
                <w:rFonts w:hint="eastAsia" w:ascii="Times New Roman" w:hAnsi="Times New Roman" w:eastAsia="仿宋_GB2312" w:cs="Times New Roman"/>
                <w:color w:val="auto"/>
                <w:kern w:val="0"/>
                <w:sz w:val="28"/>
                <w:szCs w:val="28"/>
              </w:rPr>
              <w:t>涉水产品生产经营者伪造、变造或者冒用卫生许可批准文件、卫生安全检验报告</w:t>
            </w:r>
            <w:r>
              <w:rPr>
                <w:rFonts w:hint="eastAsia" w:ascii="Times New Roman" w:hAnsi="Times New Roman" w:eastAsia="仿宋_GB2312"/>
                <w:color w:val="auto"/>
                <w:kern w:val="0"/>
                <w:sz w:val="28"/>
                <w:szCs w:val="28"/>
                <w:lang w:val="en-US" w:eastAsia="zh-CN"/>
              </w:rPr>
              <w:t>，涉及</w:t>
            </w:r>
            <w:r>
              <w:rPr>
                <w:rFonts w:hint="eastAsia" w:ascii="Times New Roman" w:hAnsi="Times New Roman" w:eastAsia="仿宋_GB2312" w:cs="Times New Roman"/>
                <w:color w:val="auto"/>
                <w:kern w:val="0"/>
                <w:sz w:val="28"/>
                <w:szCs w:val="28"/>
              </w:rPr>
              <w:t>涉水产品的</w:t>
            </w:r>
            <w:r>
              <w:rPr>
                <w:rFonts w:ascii="Times New Roman" w:hAnsi="Times New Roman" w:eastAsia="仿宋_GB2312"/>
                <w:color w:val="auto"/>
                <w:kern w:val="0"/>
                <w:sz w:val="28"/>
                <w:szCs w:val="28"/>
              </w:rPr>
              <w:t>数量</w:t>
            </w:r>
            <w:r>
              <w:rPr>
                <w:rFonts w:hint="eastAsia" w:ascii="Times New Roman" w:hAnsi="Times New Roman" w:eastAsia="仿宋_GB2312"/>
                <w:color w:val="auto"/>
                <w:kern w:val="0"/>
                <w:sz w:val="28"/>
                <w:szCs w:val="28"/>
                <w:lang w:val="en-US" w:eastAsia="zh-CN"/>
              </w:rPr>
              <w:t>在1</w:t>
            </w:r>
            <w:r>
              <w:rPr>
                <w:rFonts w:ascii="Times New Roman" w:hAnsi="Times New Roman" w:eastAsia="仿宋_GB2312"/>
                <w:color w:val="auto"/>
                <w:kern w:val="0"/>
                <w:sz w:val="28"/>
                <w:szCs w:val="28"/>
              </w:rPr>
              <w:t>0</w:t>
            </w:r>
            <w:r>
              <w:rPr>
                <w:rFonts w:hint="eastAsia" w:ascii="Times New Roman" w:hAnsi="Times New Roman" w:eastAsia="仿宋_GB2312"/>
                <w:color w:val="auto"/>
                <w:kern w:val="0"/>
                <w:sz w:val="28"/>
                <w:szCs w:val="28"/>
                <w:lang w:val="en-US" w:eastAsia="zh-CN"/>
              </w:rPr>
              <w:t>-50</w:t>
            </w:r>
            <w:r>
              <w:rPr>
                <w:rFonts w:ascii="Times New Roman" w:hAnsi="Times New Roman" w:eastAsia="仿宋_GB2312"/>
                <w:color w:val="auto"/>
                <w:kern w:val="0"/>
                <w:sz w:val="28"/>
                <w:szCs w:val="28"/>
              </w:rPr>
              <w:t>件</w:t>
            </w:r>
            <w:r>
              <w:rPr>
                <w:rFonts w:hint="eastAsia" w:ascii="Times New Roman" w:hAnsi="Times New Roman" w:eastAsia="仿宋_GB2312"/>
                <w:color w:val="auto"/>
                <w:kern w:val="0"/>
                <w:sz w:val="28"/>
                <w:szCs w:val="28"/>
                <w:lang w:val="en-US" w:eastAsia="zh-CN"/>
              </w:rPr>
              <w:t>的</w:t>
            </w:r>
          </w:p>
        </w:tc>
        <w:tc>
          <w:tcPr>
            <w:tcW w:w="2939" w:type="dxa"/>
            <w:tcBorders>
              <w:top w:val="single" w:color="auto" w:sz="4" w:space="0"/>
              <w:left w:val="nil"/>
              <w:bottom w:val="single" w:color="auto" w:sz="4" w:space="0"/>
              <w:right w:val="single" w:color="auto" w:sz="4" w:space="0"/>
            </w:tcBorders>
            <w:noWrap w:val="0"/>
            <w:vAlign w:val="center"/>
          </w:tcPr>
          <w:p w14:paraId="244C61A3">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没收违法所得，5.1万元≤罚款＜7.9万元</w:t>
            </w:r>
          </w:p>
        </w:tc>
      </w:tr>
      <w:tr w14:paraId="33F43A68">
        <w:tblPrEx>
          <w:tblCellMar>
            <w:top w:w="0" w:type="dxa"/>
            <w:left w:w="108" w:type="dxa"/>
            <w:bottom w:w="0" w:type="dxa"/>
            <w:right w:w="108" w:type="dxa"/>
          </w:tblCellMar>
        </w:tblPrEx>
        <w:trPr>
          <w:trHeight w:val="525" w:hRule="atLeast"/>
        </w:trPr>
        <w:tc>
          <w:tcPr>
            <w:tcW w:w="1399" w:type="dxa"/>
            <w:tcBorders>
              <w:top w:val="nil"/>
              <w:left w:val="single" w:color="auto" w:sz="4" w:space="0"/>
              <w:bottom w:val="single" w:color="auto" w:sz="4" w:space="0"/>
              <w:right w:val="single" w:color="auto" w:sz="4" w:space="0"/>
            </w:tcBorders>
            <w:noWrap w:val="0"/>
            <w:vAlign w:val="center"/>
          </w:tcPr>
          <w:p w14:paraId="43547FD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情节较重</w:t>
            </w:r>
          </w:p>
        </w:tc>
        <w:tc>
          <w:tcPr>
            <w:tcW w:w="4761" w:type="dxa"/>
            <w:tcBorders>
              <w:top w:val="single" w:color="auto" w:sz="4" w:space="0"/>
              <w:left w:val="nil"/>
              <w:bottom w:val="single" w:color="auto" w:sz="4" w:space="0"/>
              <w:right w:val="single" w:color="000000" w:sz="4" w:space="0"/>
            </w:tcBorders>
            <w:noWrap w:val="0"/>
            <w:vAlign w:val="center"/>
          </w:tcPr>
          <w:p w14:paraId="7A82595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Times New Roman" w:hAnsi="Times New Roman" w:eastAsia="仿宋_GB2312" w:cs="Times New Roman"/>
                <w:color w:val="auto"/>
                <w:kern w:val="0"/>
                <w:sz w:val="28"/>
                <w:szCs w:val="28"/>
                <w:lang w:eastAsia="zh-CN"/>
              </w:rPr>
            </w:pPr>
            <w:bookmarkStart w:id="10" w:name="OLE_LINK3"/>
            <w:r>
              <w:rPr>
                <w:rFonts w:hint="eastAsia" w:ascii="Times New Roman" w:hAnsi="Times New Roman" w:eastAsia="仿宋_GB2312" w:cs="Times New Roman"/>
                <w:color w:val="auto"/>
                <w:kern w:val="0"/>
                <w:sz w:val="28"/>
                <w:szCs w:val="28"/>
              </w:rPr>
              <w:t>涉水产品生产经营者伪造、变造或者冒用卫生许可批准文件、卫生安全检验报告</w:t>
            </w:r>
            <w:r>
              <w:rPr>
                <w:rFonts w:hint="eastAsia" w:ascii="Times New Roman" w:hAnsi="Times New Roman" w:eastAsia="仿宋_GB2312"/>
                <w:color w:val="auto"/>
                <w:kern w:val="0"/>
                <w:sz w:val="28"/>
                <w:szCs w:val="28"/>
                <w:lang w:val="en-US" w:eastAsia="zh-CN"/>
              </w:rPr>
              <w:t>，涉及</w:t>
            </w:r>
            <w:r>
              <w:rPr>
                <w:rFonts w:hint="eastAsia" w:ascii="Times New Roman" w:hAnsi="Times New Roman" w:eastAsia="仿宋_GB2312" w:cs="Times New Roman"/>
                <w:color w:val="auto"/>
                <w:kern w:val="0"/>
                <w:sz w:val="28"/>
                <w:szCs w:val="28"/>
              </w:rPr>
              <w:t>涉水产品的</w:t>
            </w:r>
            <w:r>
              <w:rPr>
                <w:rFonts w:hint="eastAsia" w:ascii="Times New Roman" w:hAnsi="Times New Roman" w:eastAsia="仿宋_GB2312" w:cs="Times New Roman"/>
                <w:color w:val="auto"/>
                <w:kern w:val="0"/>
                <w:sz w:val="28"/>
                <w:szCs w:val="28"/>
                <w:lang w:val="en-US" w:eastAsia="zh-CN"/>
              </w:rPr>
              <w:t>数量在</w:t>
            </w:r>
            <w:r>
              <w:rPr>
                <w:rFonts w:hint="eastAsia" w:ascii="Times New Roman" w:hAnsi="Times New Roman" w:eastAsia="仿宋_GB2312"/>
                <w:color w:val="auto"/>
                <w:kern w:val="0"/>
                <w:sz w:val="28"/>
                <w:szCs w:val="28"/>
                <w:lang w:val="en-US" w:eastAsia="zh-CN"/>
              </w:rPr>
              <w:t>50件及以上的；或</w:t>
            </w:r>
            <w:r>
              <w:rPr>
                <w:rFonts w:hint="eastAsia" w:ascii="Times New Roman" w:hAnsi="Times New Roman" w:eastAsia="仿宋_GB2312" w:cs="Times New Roman"/>
                <w:color w:val="auto"/>
                <w:kern w:val="0"/>
                <w:sz w:val="28"/>
                <w:szCs w:val="28"/>
              </w:rPr>
              <w:t>使用国家禁用的有毒有害原材料或者回收的废旧材料生产</w:t>
            </w:r>
            <w:bookmarkEnd w:id="10"/>
            <w:r>
              <w:rPr>
                <w:rFonts w:hint="eastAsia" w:ascii="Times New Roman" w:hAnsi="Times New Roman" w:eastAsia="仿宋_GB2312" w:cs="Times New Roman"/>
                <w:color w:val="auto"/>
                <w:kern w:val="0"/>
                <w:sz w:val="28"/>
                <w:szCs w:val="28"/>
                <w:lang w:val="en-US" w:eastAsia="zh-CN"/>
              </w:rPr>
              <w:t>涉水产品的</w:t>
            </w:r>
            <w:r>
              <w:rPr>
                <w:rFonts w:hint="eastAsia" w:ascii="Times New Roman" w:hAnsi="Times New Roman" w:eastAsia="仿宋_GB2312"/>
                <w:color w:val="auto"/>
                <w:kern w:val="0"/>
                <w:sz w:val="28"/>
                <w:szCs w:val="28"/>
                <w:lang w:val="en-US" w:eastAsia="zh-CN"/>
              </w:rPr>
              <w:t>；</w:t>
            </w:r>
            <w:r>
              <w:rPr>
                <w:rFonts w:hint="eastAsia" w:ascii="Times New Roman" w:hAnsi="Times New Roman" w:eastAsia="仿宋_GB2312" w:cs="Times New Roman"/>
                <w:color w:val="auto"/>
                <w:kern w:val="0"/>
                <w:sz w:val="28"/>
                <w:szCs w:val="28"/>
                <w:lang w:val="en-US" w:eastAsia="zh-CN"/>
              </w:rPr>
              <w:t>或</w:t>
            </w:r>
            <w:r>
              <w:rPr>
                <w:rFonts w:ascii="仿宋_GB2312" w:hAnsi="宋体" w:eastAsia="仿宋_GB2312" w:cs="仿宋_GB2312"/>
                <w:i w:val="0"/>
                <w:iCs w:val="0"/>
                <w:caps w:val="0"/>
                <w:color w:val="auto"/>
                <w:spacing w:val="0"/>
                <w:sz w:val="28"/>
                <w:szCs w:val="28"/>
              </w:rPr>
              <w:t>具有《</w:t>
            </w:r>
            <w:r>
              <w:rPr>
                <w:rFonts w:hint="eastAsia" w:ascii="仿宋_GB2312" w:hAnsi="宋体" w:eastAsia="仿宋_GB2312" w:cs="仿宋_GB2312"/>
                <w:i w:val="0"/>
                <w:iCs w:val="0"/>
                <w:caps w:val="0"/>
                <w:color w:val="auto"/>
                <w:spacing w:val="0"/>
                <w:sz w:val="28"/>
                <w:szCs w:val="28"/>
                <w:lang w:val="en-US" w:eastAsia="zh-CN"/>
              </w:rPr>
              <w:t>江苏省卫生健康行政处罚</w:t>
            </w:r>
            <w:r>
              <w:rPr>
                <w:rFonts w:ascii="仿宋_GB2312" w:hAnsi="宋体" w:eastAsia="仿宋_GB2312" w:cs="仿宋_GB2312"/>
                <w:i w:val="0"/>
                <w:iCs w:val="0"/>
                <w:caps w:val="0"/>
                <w:color w:val="auto"/>
                <w:spacing w:val="0"/>
                <w:sz w:val="28"/>
                <w:szCs w:val="28"/>
              </w:rPr>
              <w:t>裁量适用办法》从重情形</w:t>
            </w:r>
            <w:r>
              <w:rPr>
                <w:rFonts w:hint="eastAsia" w:ascii="仿宋_GB2312" w:hAnsi="宋体" w:eastAsia="仿宋_GB2312" w:cs="仿宋_GB2312"/>
                <w:i w:val="0"/>
                <w:iCs w:val="0"/>
                <w:caps w:val="0"/>
                <w:color w:val="auto"/>
                <w:spacing w:val="0"/>
                <w:sz w:val="28"/>
                <w:szCs w:val="28"/>
                <w:lang w:eastAsia="zh-CN"/>
              </w:rPr>
              <w:t>的</w:t>
            </w:r>
            <w:r>
              <w:rPr>
                <w:rFonts w:ascii="仿宋_GB2312" w:hAnsi="宋体" w:eastAsia="仿宋_GB2312" w:cs="仿宋_GB2312"/>
                <w:i w:val="0"/>
                <w:iCs w:val="0"/>
                <w:caps w:val="0"/>
                <w:color w:val="auto"/>
                <w:spacing w:val="0"/>
                <w:sz w:val="28"/>
                <w:szCs w:val="28"/>
              </w:rPr>
              <w:t>。</w:t>
            </w:r>
          </w:p>
        </w:tc>
        <w:tc>
          <w:tcPr>
            <w:tcW w:w="2939" w:type="dxa"/>
            <w:tcBorders>
              <w:top w:val="nil"/>
              <w:left w:val="nil"/>
              <w:bottom w:val="single" w:color="auto" w:sz="4" w:space="0"/>
              <w:right w:val="single" w:color="auto" w:sz="4" w:space="0"/>
            </w:tcBorders>
            <w:noWrap w:val="0"/>
            <w:vAlign w:val="center"/>
          </w:tcPr>
          <w:p w14:paraId="1FE0B3E0">
            <w:pPr>
              <w:keepNext w:val="0"/>
              <w:keepLines w:val="0"/>
              <w:pageBreakBefore w:val="0"/>
              <w:widowControl/>
              <w:kinsoku/>
              <w:wordWrap/>
              <w:overflowPunct/>
              <w:topLinePunct w:val="0"/>
              <w:autoSpaceDE/>
              <w:autoSpaceDN/>
              <w:bidi w:val="0"/>
              <w:adjustRightInd/>
              <w:snapToGrid/>
              <w:spacing w:line="440" w:lineRule="exact"/>
              <w:textAlignment w:val="auto"/>
              <w:rPr>
                <w:rFonts w:ascii="Times New Roman" w:hAnsi="Times New Roman" w:eastAsia="仿宋_GB2312" w:cs="Times New Roman"/>
                <w:color w:val="auto"/>
                <w:kern w:val="0"/>
                <w:sz w:val="28"/>
                <w:szCs w:val="28"/>
              </w:rPr>
            </w:pPr>
            <w:r>
              <w:rPr>
                <w:rFonts w:ascii="Times New Roman" w:hAnsi="Times New Roman" w:eastAsia="仿宋_GB2312" w:cs="Times New Roman"/>
                <w:color w:val="auto"/>
                <w:kern w:val="0"/>
                <w:sz w:val="28"/>
                <w:szCs w:val="28"/>
              </w:rPr>
              <w:t>没收违法所得，7.9万元≤罚款≤10万元，吊销卫生许可</w:t>
            </w:r>
          </w:p>
        </w:tc>
      </w:tr>
    </w:tbl>
    <w:p w14:paraId="1B688ABA">
      <w:pPr>
        <w:spacing w:line="560" w:lineRule="exact"/>
        <w:ind w:firstLine="0" w:firstLineChars="0"/>
        <w:rPr>
          <w:rFonts w:ascii="Times New Roman" w:hAnsi="Times New Roman" w:eastAsia="仿宋_GB2312"/>
          <w:color w:val="auto"/>
          <w:sz w:val="32"/>
          <w:szCs w:val="32"/>
        </w:rPr>
      </w:pPr>
    </w:p>
    <w:p w14:paraId="17BEED1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案由八</w:t>
      </w:r>
      <w:r>
        <w:rPr>
          <w:rFonts w:hint="eastAsia" w:ascii="方正楷体_GBK" w:hAnsi="方正楷体_GBK" w:eastAsia="方正楷体_GBK" w:cs="方正楷体_GBK"/>
          <w:color w:val="auto"/>
          <w:sz w:val="32"/>
          <w:szCs w:val="32"/>
        </w:rPr>
        <w:t>：二次供水设施管理单位未按照规定管理，导致供水水质不符合国家生活饮用水卫生标准的</w:t>
      </w:r>
    </w:p>
    <w:p w14:paraId="26D057E2">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3C1BA37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六条第一款规定：“违反本条例规定，二次供水设施管理单位未按照规定管理，导致供水水质不符合国家生活饮用水卫生标准的，由卫生健康（疾病预防控制）、城乡供水部门按照各自职责责令改正，可以处五千元以上二万元以下罚款。”</w:t>
      </w:r>
    </w:p>
    <w:p w14:paraId="397A6F39">
      <w:pPr>
        <w:keepNext w:val="0"/>
        <w:keepLines w:val="0"/>
        <w:pageBreakBefore w:val="0"/>
        <w:widowControl w:val="0"/>
        <w:numPr>
          <w:ilvl w:val="0"/>
          <w:numId w:val="5"/>
        </w:numPr>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裁量权基准</w:t>
      </w:r>
    </w:p>
    <w:tbl>
      <w:tblPr>
        <w:tblStyle w:val="6"/>
        <w:tblW w:w="8999" w:type="dxa"/>
        <w:tblInd w:w="0" w:type="dxa"/>
        <w:tblLayout w:type="fixed"/>
        <w:tblCellMar>
          <w:top w:w="0" w:type="dxa"/>
          <w:left w:w="108" w:type="dxa"/>
          <w:bottom w:w="0" w:type="dxa"/>
          <w:right w:w="108" w:type="dxa"/>
        </w:tblCellMar>
      </w:tblPr>
      <w:tblGrid>
        <w:gridCol w:w="1362"/>
        <w:gridCol w:w="4725"/>
        <w:gridCol w:w="2912"/>
      </w:tblGrid>
      <w:tr w14:paraId="15CE7E05">
        <w:tblPrEx>
          <w:tblCellMar>
            <w:top w:w="0" w:type="dxa"/>
            <w:left w:w="108" w:type="dxa"/>
            <w:bottom w:w="0" w:type="dxa"/>
            <w:right w:w="108" w:type="dxa"/>
          </w:tblCellMar>
        </w:tblPrEx>
        <w:trPr>
          <w:trHeight w:val="525" w:hRule="atLeast"/>
        </w:trPr>
        <w:tc>
          <w:tcPr>
            <w:tcW w:w="1362" w:type="dxa"/>
            <w:tcBorders>
              <w:top w:val="single" w:color="auto" w:sz="4" w:space="0"/>
              <w:left w:val="single" w:color="auto" w:sz="4" w:space="0"/>
              <w:bottom w:val="nil"/>
              <w:right w:val="single" w:color="auto" w:sz="4" w:space="0"/>
            </w:tcBorders>
            <w:noWrap/>
            <w:vAlign w:val="center"/>
          </w:tcPr>
          <w:p w14:paraId="1783DDE8">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25" w:type="dxa"/>
            <w:tcBorders>
              <w:top w:val="single" w:color="auto" w:sz="4" w:space="0"/>
              <w:left w:val="nil"/>
              <w:bottom w:val="single" w:color="auto" w:sz="4" w:space="0"/>
              <w:right w:val="single" w:color="000000" w:sz="4" w:space="0"/>
            </w:tcBorders>
            <w:noWrap/>
            <w:vAlign w:val="center"/>
          </w:tcPr>
          <w:p w14:paraId="1EA3AB4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912" w:type="dxa"/>
            <w:tcBorders>
              <w:top w:val="single" w:color="auto" w:sz="4" w:space="0"/>
              <w:left w:val="nil"/>
              <w:bottom w:val="nil"/>
              <w:right w:val="single" w:color="auto" w:sz="4" w:space="0"/>
            </w:tcBorders>
            <w:noWrap w:val="0"/>
            <w:vAlign w:val="center"/>
          </w:tcPr>
          <w:p w14:paraId="0C9003E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543C2F32">
        <w:tblPrEx>
          <w:tblCellMar>
            <w:top w:w="0" w:type="dxa"/>
            <w:left w:w="108" w:type="dxa"/>
            <w:bottom w:w="0" w:type="dxa"/>
            <w:right w:w="108" w:type="dxa"/>
          </w:tblCellMar>
        </w:tblPrEx>
        <w:trPr>
          <w:trHeight w:val="495" w:hRule="atLeast"/>
        </w:trPr>
        <w:tc>
          <w:tcPr>
            <w:tcW w:w="1362" w:type="dxa"/>
            <w:tcBorders>
              <w:top w:val="single" w:color="auto" w:sz="4" w:space="0"/>
              <w:left w:val="single" w:color="auto" w:sz="4" w:space="0"/>
              <w:bottom w:val="single" w:color="auto" w:sz="4" w:space="0"/>
              <w:right w:val="single" w:color="auto" w:sz="4" w:space="0"/>
            </w:tcBorders>
            <w:noWrap w:val="0"/>
            <w:vAlign w:val="center"/>
          </w:tcPr>
          <w:p w14:paraId="207831B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725" w:type="dxa"/>
            <w:tcBorders>
              <w:top w:val="single" w:color="auto" w:sz="4" w:space="0"/>
              <w:left w:val="nil"/>
              <w:bottom w:val="single" w:color="auto" w:sz="4" w:space="0"/>
              <w:right w:val="single" w:color="000000" w:sz="4" w:space="0"/>
            </w:tcBorders>
            <w:noWrap w:val="0"/>
            <w:vAlign w:val="center"/>
          </w:tcPr>
          <w:p w14:paraId="1206503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rPr>
              <w:t>二次供水设施管理单位未按照规定管理，导致供水水质不符合国家生活饮用水卫生标准的指标数量为1项</w:t>
            </w:r>
            <w:r>
              <w:rPr>
                <w:rFonts w:hint="eastAsia" w:ascii="方正仿宋_GBK" w:hAnsi="方正仿宋_GBK" w:eastAsia="方正仿宋_GBK" w:cs="方正仿宋_GBK"/>
                <w:i w:val="0"/>
                <w:iCs w:val="0"/>
                <w:caps w:val="0"/>
                <w:color w:val="auto"/>
                <w:spacing w:val="0"/>
                <w:sz w:val="28"/>
                <w:szCs w:val="28"/>
              </w:rPr>
              <w:t>（非微生物指标）</w:t>
            </w:r>
            <w:r>
              <w:rPr>
                <w:rFonts w:hint="eastAsia" w:ascii="方正仿宋_GBK" w:hAnsi="方正仿宋_GBK" w:eastAsia="方正仿宋_GBK" w:cs="方正仿宋_GBK"/>
                <w:i w:val="0"/>
                <w:iCs w:val="0"/>
                <w:caps w:val="0"/>
                <w:color w:val="auto"/>
                <w:spacing w:val="0"/>
                <w:sz w:val="28"/>
                <w:szCs w:val="28"/>
                <w:lang w:eastAsia="zh-CN"/>
              </w:rPr>
              <w:t>，</w:t>
            </w:r>
            <w:r>
              <w:rPr>
                <w:rFonts w:hint="eastAsia" w:ascii="方正仿宋_GBK" w:hAnsi="方正仿宋_GBK" w:eastAsia="方正仿宋_GBK" w:cs="方正仿宋_GBK"/>
                <w:i w:val="0"/>
                <w:iCs w:val="0"/>
                <w:caps w:val="0"/>
                <w:color w:val="auto"/>
                <w:spacing w:val="0"/>
                <w:sz w:val="28"/>
                <w:szCs w:val="28"/>
                <w:lang w:val="en-US" w:eastAsia="zh-CN"/>
              </w:rPr>
              <w:t>未造成传染病流行的</w:t>
            </w:r>
          </w:p>
        </w:tc>
        <w:tc>
          <w:tcPr>
            <w:tcW w:w="2912" w:type="dxa"/>
            <w:tcBorders>
              <w:top w:val="single" w:color="auto" w:sz="4" w:space="0"/>
              <w:left w:val="nil"/>
              <w:bottom w:val="single" w:color="auto" w:sz="4" w:space="0"/>
              <w:right w:val="single" w:color="auto" w:sz="4" w:space="0"/>
            </w:tcBorders>
            <w:noWrap w:val="0"/>
            <w:vAlign w:val="center"/>
          </w:tcPr>
          <w:p w14:paraId="1C0A55D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lang w:val="en-US" w:eastAsia="zh-CN"/>
              </w:rPr>
              <w:t>责令改正，可处</w:t>
            </w:r>
            <w:r>
              <w:rPr>
                <w:rFonts w:hint="eastAsia" w:ascii="方正仿宋_GBK" w:hAnsi="方正仿宋_GBK" w:eastAsia="方正仿宋_GBK" w:cs="方正仿宋_GBK"/>
                <w:color w:val="auto"/>
                <w:kern w:val="0"/>
                <w:sz w:val="28"/>
                <w:szCs w:val="28"/>
              </w:rPr>
              <w:t>0.5万元≤罚款＜0.95万元</w:t>
            </w:r>
          </w:p>
        </w:tc>
      </w:tr>
      <w:tr w14:paraId="20E7DC3E">
        <w:tblPrEx>
          <w:tblCellMar>
            <w:top w:w="0" w:type="dxa"/>
            <w:left w:w="108" w:type="dxa"/>
            <w:bottom w:w="0" w:type="dxa"/>
            <w:right w:w="108" w:type="dxa"/>
          </w:tblCellMar>
        </w:tblPrEx>
        <w:trPr>
          <w:trHeight w:val="495" w:hRule="atLeast"/>
        </w:trPr>
        <w:tc>
          <w:tcPr>
            <w:tcW w:w="1362" w:type="dxa"/>
            <w:tcBorders>
              <w:top w:val="single" w:color="auto" w:sz="4" w:space="0"/>
              <w:left w:val="single" w:color="auto" w:sz="4" w:space="0"/>
              <w:bottom w:val="single" w:color="auto" w:sz="4" w:space="0"/>
              <w:right w:val="single" w:color="auto" w:sz="4" w:space="0"/>
            </w:tcBorders>
            <w:noWrap w:val="0"/>
            <w:vAlign w:val="center"/>
          </w:tcPr>
          <w:p w14:paraId="3F8A33F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725" w:type="dxa"/>
            <w:tcBorders>
              <w:top w:val="single" w:color="auto" w:sz="4" w:space="0"/>
              <w:left w:val="nil"/>
              <w:bottom w:val="single" w:color="auto" w:sz="4" w:space="0"/>
              <w:right w:val="single" w:color="000000" w:sz="4" w:space="0"/>
            </w:tcBorders>
            <w:noWrap w:val="0"/>
            <w:vAlign w:val="center"/>
          </w:tcPr>
          <w:p w14:paraId="053A145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二次供水设施管理单位未按照规定管理，导致供水水质不符合国家生活饮用水卫生标准的指标数量为</w:t>
            </w:r>
            <w:r>
              <w:rPr>
                <w:rFonts w:hint="eastAsia" w:ascii="方正仿宋_GBK" w:hAnsi="方正仿宋_GBK" w:eastAsia="方正仿宋_GBK" w:cs="方正仿宋_GBK"/>
                <w:i w:val="0"/>
                <w:iCs w:val="0"/>
                <w:caps w:val="0"/>
                <w:color w:val="auto"/>
                <w:spacing w:val="0"/>
                <w:sz w:val="28"/>
                <w:szCs w:val="28"/>
              </w:rPr>
              <w:t>2项（非微生物指标）或微生物指标为1项</w:t>
            </w:r>
            <w:r>
              <w:rPr>
                <w:rFonts w:hint="eastAsia" w:ascii="方正仿宋_GBK" w:hAnsi="方正仿宋_GBK" w:eastAsia="方正仿宋_GBK" w:cs="方正仿宋_GBK"/>
                <w:i w:val="0"/>
                <w:iCs w:val="0"/>
                <w:caps w:val="0"/>
                <w:color w:val="auto"/>
                <w:spacing w:val="0"/>
                <w:sz w:val="28"/>
                <w:szCs w:val="28"/>
                <w:lang w:eastAsia="zh-CN"/>
              </w:rPr>
              <w:t>，</w:t>
            </w:r>
            <w:r>
              <w:rPr>
                <w:rFonts w:hint="eastAsia" w:ascii="方正仿宋_GBK" w:hAnsi="方正仿宋_GBK" w:eastAsia="方正仿宋_GBK" w:cs="方正仿宋_GBK"/>
                <w:i w:val="0"/>
                <w:iCs w:val="0"/>
                <w:caps w:val="0"/>
                <w:color w:val="auto"/>
                <w:spacing w:val="0"/>
                <w:sz w:val="28"/>
                <w:szCs w:val="28"/>
                <w:lang w:val="en-US" w:eastAsia="zh-CN"/>
              </w:rPr>
              <w:t>未造成传染病流行</w:t>
            </w:r>
            <w:r>
              <w:rPr>
                <w:rFonts w:hint="eastAsia" w:ascii="方正仿宋_GBK" w:hAnsi="方正仿宋_GBK" w:eastAsia="方正仿宋_GBK" w:cs="方正仿宋_GBK"/>
                <w:i w:val="0"/>
                <w:iCs w:val="0"/>
                <w:caps w:val="0"/>
                <w:color w:val="auto"/>
                <w:spacing w:val="0"/>
                <w:sz w:val="28"/>
                <w:szCs w:val="28"/>
              </w:rPr>
              <w:t>的</w:t>
            </w:r>
          </w:p>
        </w:tc>
        <w:tc>
          <w:tcPr>
            <w:tcW w:w="2912" w:type="dxa"/>
            <w:tcBorders>
              <w:top w:val="single" w:color="auto" w:sz="4" w:space="0"/>
              <w:left w:val="nil"/>
              <w:bottom w:val="single" w:color="auto" w:sz="4" w:space="0"/>
              <w:right w:val="single" w:color="auto" w:sz="4" w:space="0"/>
            </w:tcBorders>
            <w:noWrap w:val="0"/>
            <w:vAlign w:val="center"/>
          </w:tcPr>
          <w:p w14:paraId="2EB8AC2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0.95万元≤罚款＜1.55万元</w:t>
            </w:r>
          </w:p>
        </w:tc>
      </w:tr>
      <w:tr w14:paraId="1A4DBBDD">
        <w:tblPrEx>
          <w:tblCellMar>
            <w:top w:w="0" w:type="dxa"/>
            <w:left w:w="108" w:type="dxa"/>
            <w:bottom w:w="0" w:type="dxa"/>
            <w:right w:w="108" w:type="dxa"/>
          </w:tblCellMar>
        </w:tblPrEx>
        <w:trPr>
          <w:trHeight w:val="525" w:hRule="atLeast"/>
        </w:trPr>
        <w:tc>
          <w:tcPr>
            <w:tcW w:w="1362" w:type="dxa"/>
            <w:tcBorders>
              <w:top w:val="nil"/>
              <w:left w:val="single" w:color="auto" w:sz="4" w:space="0"/>
              <w:bottom w:val="single" w:color="auto" w:sz="4" w:space="0"/>
              <w:right w:val="single" w:color="auto" w:sz="4" w:space="0"/>
            </w:tcBorders>
            <w:noWrap w:val="0"/>
            <w:vAlign w:val="center"/>
          </w:tcPr>
          <w:p w14:paraId="090C59D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725" w:type="dxa"/>
            <w:tcBorders>
              <w:top w:val="single" w:color="auto" w:sz="4" w:space="0"/>
              <w:left w:val="nil"/>
              <w:bottom w:val="single" w:color="auto" w:sz="4" w:space="0"/>
              <w:right w:val="single" w:color="000000" w:sz="4" w:space="0"/>
            </w:tcBorders>
            <w:noWrap w:val="0"/>
            <w:vAlign w:val="center"/>
          </w:tcPr>
          <w:p w14:paraId="0DEDC2F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二次供水设施管理单位未按照规定管理，导致供水水质不符合国家生活饮用水卫生标准的指标数量为</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项</w:t>
            </w:r>
            <w:r>
              <w:rPr>
                <w:rFonts w:hint="eastAsia" w:ascii="方正仿宋_GBK" w:hAnsi="方正仿宋_GBK" w:eastAsia="方正仿宋_GBK" w:cs="方正仿宋_GBK"/>
                <w:i w:val="0"/>
                <w:iCs w:val="0"/>
                <w:caps w:val="0"/>
                <w:color w:val="auto"/>
                <w:spacing w:val="0"/>
                <w:sz w:val="28"/>
                <w:szCs w:val="28"/>
              </w:rPr>
              <w:t>及以上（非微生物指标）或微生物指标为2项</w:t>
            </w:r>
            <w:r>
              <w:rPr>
                <w:rFonts w:hint="eastAsia" w:ascii="方正仿宋_GBK" w:hAnsi="方正仿宋_GBK" w:eastAsia="方正仿宋_GBK" w:cs="方正仿宋_GBK"/>
                <w:i w:val="0"/>
                <w:iCs w:val="0"/>
                <w:caps w:val="0"/>
                <w:color w:val="auto"/>
                <w:spacing w:val="0"/>
                <w:sz w:val="28"/>
                <w:szCs w:val="28"/>
                <w:lang w:val="en-US" w:eastAsia="zh-CN"/>
              </w:rPr>
              <w:t>以上</w:t>
            </w:r>
            <w:r>
              <w:rPr>
                <w:rFonts w:hint="eastAsia" w:ascii="方正仿宋_GBK" w:hAnsi="方正仿宋_GBK" w:eastAsia="方正仿宋_GBK" w:cs="方正仿宋_GBK"/>
                <w:i w:val="0"/>
                <w:iCs w:val="0"/>
                <w:caps w:val="0"/>
                <w:color w:val="auto"/>
                <w:spacing w:val="0"/>
                <w:sz w:val="28"/>
                <w:szCs w:val="28"/>
              </w:rPr>
              <w:t>的</w:t>
            </w:r>
            <w:r>
              <w:rPr>
                <w:rFonts w:hint="eastAsia" w:ascii="方正仿宋_GBK" w:hAnsi="方正仿宋_GBK" w:eastAsia="方正仿宋_GBK" w:cs="方正仿宋_GBK"/>
                <w:i w:val="0"/>
                <w:iCs w:val="0"/>
                <w:caps w:val="0"/>
                <w:color w:val="auto"/>
                <w:spacing w:val="0"/>
                <w:sz w:val="28"/>
                <w:szCs w:val="28"/>
                <w:lang w:eastAsia="zh-CN"/>
              </w:rPr>
              <w:t>；</w:t>
            </w:r>
            <w:r>
              <w:rPr>
                <w:rFonts w:hint="eastAsia" w:ascii="方正仿宋_GBK" w:hAnsi="方正仿宋_GBK" w:eastAsia="方正仿宋_GBK" w:cs="方正仿宋_GBK"/>
                <w:color w:val="auto"/>
                <w:kern w:val="0"/>
                <w:sz w:val="28"/>
                <w:szCs w:val="28"/>
                <w:lang w:val="en-US" w:eastAsia="zh-CN"/>
              </w:rPr>
              <w:t>或</w:t>
            </w:r>
            <w:r>
              <w:rPr>
                <w:rFonts w:hint="eastAsia" w:ascii="方正仿宋_GBK" w:hAnsi="方正仿宋_GBK" w:eastAsia="方正仿宋_GBK" w:cs="方正仿宋_GBK"/>
                <w:i w:val="0"/>
                <w:iCs w:val="0"/>
                <w:caps w:val="0"/>
                <w:color w:val="auto"/>
                <w:spacing w:val="0"/>
                <w:sz w:val="28"/>
                <w:szCs w:val="28"/>
              </w:rPr>
              <w:t>具有《</w:t>
            </w:r>
            <w:r>
              <w:rPr>
                <w:rFonts w:hint="eastAsia" w:ascii="方正仿宋_GBK" w:hAnsi="方正仿宋_GBK" w:eastAsia="方正仿宋_GBK" w:cs="方正仿宋_GBK"/>
                <w:i w:val="0"/>
                <w:iCs w:val="0"/>
                <w:caps w:val="0"/>
                <w:color w:val="auto"/>
                <w:spacing w:val="0"/>
                <w:sz w:val="28"/>
                <w:szCs w:val="28"/>
                <w:lang w:val="en-US" w:eastAsia="zh-CN"/>
              </w:rPr>
              <w:t>江苏省卫生健康行政处罚</w:t>
            </w:r>
            <w:r>
              <w:rPr>
                <w:rFonts w:hint="eastAsia" w:ascii="方正仿宋_GBK" w:hAnsi="方正仿宋_GBK" w:eastAsia="方正仿宋_GBK" w:cs="方正仿宋_GBK"/>
                <w:i w:val="0"/>
                <w:iCs w:val="0"/>
                <w:caps w:val="0"/>
                <w:color w:val="auto"/>
                <w:spacing w:val="0"/>
                <w:sz w:val="28"/>
                <w:szCs w:val="28"/>
              </w:rPr>
              <w:t>裁量适用办法》从重情形。</w:t>
            </w:r>
          </w:p>
        </w:tc>
        <w:tc>
          <w:tcPr>
            <w:tcW w:w="2912" w:type="dxa"/>
            <w:tcBorders>
              <w:top w:val="nil"/>
              <w:left w:val="nil"/>
              <w:bottom w:val="single" w:color="auto" w:sz="4" w:space="0"/>
              <w:right w:val="single" w:color="auto" w:sz="4" w:space="0"/>
            </w:tcBorders>
            <w:noWrap w:val="0"/>
            <w:vAlign w:val="center"/>
          </w:tcPr>
          <w:p w14:paraId="7E2E2DF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1.55万元≤罚款≤2万元</w:t>
            </w:r>
          </w:p>
        </w:tc>
      </w:tr>
    </w:tbl>
    <w:p w14:paraId="2FA4B8B9">
      <w:pPr>
        <w:spacing w:line="560" w:lineRule="exact"/>
        <w:ind w:firstLine="640" w:firstLineChars="200"/>
        <w:rPr>
          <w:rFonts w:ascii="Times New Roman" w:hAnsi="Times New Roman" w:eastAsia="仿宋_GB2312"/>
          <w:color w:val="auto"/>
          <w:sz w:val="32"/>
          <w:szCs w:val="32"/>
        </w:rPr>
      </w:pPr>
    </w:p>
    <w:p w14:paraId="76D9910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案由九</w:t>
      </w:r>
      <w:r>
        <w:rPr>
          <w:rFonts w:hint="eastAsia" w:ascii="方正楷体_GBK" w:hAnsi="方正楷体_GBK" w:eastAsia="方正楷体_GBK" w:cs="方正楷体_GBK"/>
          <w:color w:val="auto"/>
          <w:sz w:val="32"/>
          <w:szCs w:val="32"/>
        </w:rPr>
        <w:t>：集中式供水水质不符合国家生活饮用水卫生标准的</w:t>
      </w:r>
    </w:p>
    <w:p w14:paraId="43BF5677">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6127821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江苏省生活饮用水卫生监督条例》第三十六条第二款规定：“违反本条例规定，集中式供水水质不符合国家生活饮用水卫生标准的，由卫生健康（疾病预防控制）、城乡供水部门按照各自职责责令改正，没收违法所得，对集中式供水单位并处五万元以上二十万元以下罚款，对规模供水加压泵站、管道分质供水单位并处二万元以上五万元以下罚款；情节严重的，报经有批准权的人民政府批准，可以责令停业整顿；已取得卫生许可证的，原发证部门可以依法吊销卫生许可证；对直接负责的主管人员和其他直接责任人员依法追究责任。”</w:t>
      </w:r>
    </w:p>
    <w:p w14:paraId="0F01385C">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91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4"/>
        <w:gridCol w:w="2588"/>
        <w:gridCol w:w="2466"/>
        <w:gridCol w:w="2696"/>
      </w:tblGrid>
      <w:tr w14:paraId="1C725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374" w:type="dxa"/>
            <w:noWrap/>
            <w:vAlign w:val="center"/>
          </w:tcPr>
          <w:p w14:paraId="198D0C5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2588" w:type="dxa"/>
            <w:noWrap/>
            <w:vAlign w:val="center"/>
          </w:tcPr>
          <w:p w14:paraId="47C6F6C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5162" w:type="dxa"/>
            <w:gridSpan w:val="2"/>
            <w:noWrap w:val="0"/>
            <w:vAlign w:val="center"/>
          </w:tcPr>
          <w:p w14:paraId="40F4269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60E34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374" w:type="dxa"/>
            <w:vMerge w:val="restart"/>
            <w:noWrap w:val="0"/>
            <w:vAlign w:val="center"/>
          </w:tcPr>
          <w:p w14:paraId="7C3E57B0">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2588" w:type="dxa"/>
            <w:vMerge w:val="restart"/>
            <w:noWrap w:val="0"/>
            <w:vAlign w:val="center"/>
          </w:tcPr>
          <w:p w14:paraId="0F6B068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集中式供水水质不符合国家生活饮用水卫生标准的指标数量为1项</w:t>
            </w:r>
            <w:r>
              <w:rPr>
                <w:rFonts w:hint="eastAsia" w:ascii="方正仿宋_GBK" w:hAnsi="方正仿宋_GBK" w:eastAsia="方正仿宋_GBK" w:cs="方正仿宋_GBK"/>
                <w:i w:val="0"/>
                <w:iCs w:val="0"/>
                <w:caps w:val="0"/>
                <w:color w:val="auto"/>
                <w:spacing w:val="0"/>
                <w:sz w:val="28"/>
                <w:szCs w:val="28"/>
              </w:rPr>
              <w:t>（非微生物指标）</w:t>
            </w:r>
          </w:p>
        </w:tc>
        <w:tc>
          <w:tcPr>
            <w:tcW w:w="2466" w:type="dxa"/>
            <w:noWrap w:val="0"/>
            <w:vAlign w:val="center"/>
          </w:tcPr>
          <w:p w14:paraId="2D4B2097">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对集中式供水单位</w:t>
            </w:r>
          </w:p>
        </w:tc>
        <w:tc>
          <w:tcPr>
            <w:tcW w:w="2696" w:type="dxa"/>
            <w:noWrap w:val="0"/>
            <w:vAlign w:val="center"/>
          </w:tcPr>
          <w:p w14:paraId="22CC3B9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没收违法所得，5万元≤罚款＜9.5万元</w:t>
            </w:r>
          </w:p>
        </w:tc>
      </w:tr>
      <w:tr w14:paraId="5E009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374" w:type="dxa"/>
            <w:vMerge w:val="continue"/>
            <w:noWrap w:val="0"/>
            <w:vAlign w:val="center"/>
          </w:tcPr>
          <w:p w14:paraId="1D33CFD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2588" w:type="dxa"/>
            <w:vMerge w:val="continue"/>
            <w:noWrap w:val="0"/>
            <w:vAlign w:val="center"/>
          </w:tcPr>
          <w:p w14:paraId="171A53C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c>
          <w:tcPr>
            <w:tcW w:w="2466" w:type="dxa"/>
            <w:noWrap w:val="0"/>
            <w:vAlign w:val="center"/>
          </w:tcPr>
          <w:p w14:paraId="2B2D9DC3">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对规模供水加压泵站、管道分质供水单位</w:t>
            </w:r>
          </w:p>
        </w:tc>
        <w:tc>
          <w:tcPr>
            <w:tcW w:w="2696" w:type="dxa"/>
            <w:noWrap w:val="0"/>
            <w:vAlign w:val="center"/>
          </w:tcPr>
          <w:p w14:paraId="30F9BF2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没收违法所得，2万元≤罚款＜2.9万元</w:t>
            </w:r>
          </w:p>
        </w:tc>
      </w:tr>
      <w:tr w14:paraId="649E8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374" w:type="dxa"/>
            <w:vMerge w:val="restart"/>
            <w:noWrap w:val="0"/>
            <w:vAlign w:val="center"/>
          </w:tcPr>
          <w:p w14:paraId="7642986C">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2588" w:type="dxa"/>
            <w:vMerge w:val="restart"/>
            <w:noWrap w:val="0"/>
            <w:vAlign w:val="center"/>
          </w:tcPr>
          <w:p w14:paraId="668F49F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集中式供水水质不符合国家生活饮用水卫生标准的指标数量为2项</w:t>
            </w:r>
            <w:r>
              <w:rPr>
                <w:rFonts w:hint="eastAsia" w:ascii="方正仿宋_GBK" w:hAnsi="方正仿宋_GBK" w:eastAsia="方正仿宋_GBK" w:cs="方正仿宋_GBK"/>
                <w:i w:val="0"/>
                <w:iCs w:val="0"/>
                <w:caps w:val="0"/>
                <w:color w:val="auto"/>
                <w:spacing w:val="0"/>
                <w:sz w:val="28"/>
                <w:szCs w:val="28"/>
              </w:rPr>
              <w:t>（非微生物指标）或微生物指标为1项的</w:t>
            </w:r>
          </w:p>
        </w:tc>
        <w:tc>
          <w:tcPr>
            <w:tcW w:w="2466" w:type="dxa"/>
            <w:noWrap w:val="0"/>
            <w:vAlign w:val="center"/>
          </w:tcPr>
          <w:p w14:paraId="648C0EA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对集中式供水单位</w:t>
            </w:r>
          </w:p>
        </w:tc>
        <w:tc>
          <w:tcPr>
            <w:tcW w:w="2696" w:type="dxa"/>
            <w:noWrap w:val="0"/>
            <w:vAlign w:val="center"/>
          </w:tcPr>
          <w:p w14:paraId="64E22523">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没收违法所得，9.5万元≤罚款＜15.5万元</w:t>
            </w:r>
          </w:p>
        </w:tc>
      </w:tr>
      <w:tr w14:paraId="507E8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374" w:type="dxa"/>
            <w:vMerge w:val="continue"/>
            <w:noWrap w:val="0"/>
            <w:vAlign w:val="center"/>
          </w:tcPr>
          <w:p w14:paraId="78EC539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2588" w:type="dxa"/>
            <w:vMerge w:val="continue"/>
            <w:noWrap w:val="0"/>
            <w:vAlign w:val="center"/>
          </w:tcPr>
          <w:p w14:paraId="232E60A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c>
          <w:tcPr>
            <w:tcW w:w="2466" w:type="dxa"/>
            <w:noWrap w:val="0"/>
            <w:vAlign w:val="center"/>
          </w:tcPr>
          <w:p w14:paraId="61ECD98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对规模供水加压泵站、管道分质供水单位</w:t>
            </w:r>
          </w:p>
        </w:tc>
        <w:tc>
          <w:tcPr>
            <w:tcW w:w="2696" w:type="dxa"/>
            <w:noWrap w:val="0"/>
            <w:vAlign w:val="center"/>
          </w:tcPr>
          <w:p w14:paraId="7017E23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没收违法所得，2.9万元≤罚款＜4.1万元</w:t>
            </w:r>
          </w:p>
        </w:tc>
      </w:tr>
      <w:tr w14:paraId="7A0D2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374" w:type="dxa"/>
            <w:vMerge w:val="restart"/>
            <w:noWrap w:val="0"/>
            <w:vAlign w:val="center"/>
          </w:tcPr>
          <w:p w14:paraId="020FA79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2588" w:type="dxa"/>
            <w:vMerge w:val="restart"/>
            <w:noWrap w:val="0"/>
            <w:vAlign w:val="center"/>
          </w:tcPr>
          <w:p w14:paraId="6713510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集中式供水水质不符合国家生活饮用水卫生标准的指标数量为</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项</w:t>
            </w:r>
            <w:r>
              <w:rPr>
                <w:rFonts w:hint="eastAsia" w:ascii="方正仿宋_GBK" w:hAnsi="方正仿宋_GBK" w:eastAsia="方正仿宋_GBK" w:cs="方正仿宋_GBK"/>
                <w:i w:val="0"/>
                <w:iCs w:val="0"/>
                <w:caps w:val="0"/>
                <w:color w:val="auto"/>
                <w:spacing w:val="0"/>
                <w:sz w:val="28"/>
                <w:szCs w:val="28"/>
              </w:rPr>
              <w:t>及以上（非微生物指标）或微生物指标为2项</w:t>
            </w:r>
            <w:r>
              <w:rPr>
                <w:rFonts w:hint="eastAsia" w:ascii="方正仿宋_GBK" w:hAnsi="方正仿宋_GBK" w:eastAsia="方正仿宋_GBK" w:cs="方正仿宋_GBK"/>
                <w:i w:val="0"/>
                <w:iCs w:val="0"/>
                <w:caps w:val="0"/>
                <w:color w:val="auto"/>
                <w:spacing w:val="0"/>
                <w:sz w:val="28"/>
                <w:szCs w:val="28"/>
                <w:lang w:val="en-US" w:eastAsia="zh-CN"/>
              </w:rPr>
              <w:t>以上</w:t>
            </w:r>
            <w:r>
              <w:rPr>
                <w:rFonts w:hint="eastAsia" w:ascii="方正仿宋_GBK" w:hAnsi="方正仿宋_GBK" w:eastAsia="方正仿宋_GBK" w:cs="方正仿宋_GBK"/>
                <w:i w:val="0"/>
                <w:iCs w:val="0"/>
                <w:caps w:val="0"/>
                <w:color w:val="auto"/>
                <w:spacing w:val="0"/>
                <w:sz w:val="28"/>
                <w:szCs w:val="28"/>
              </w:rPr>
              <w:t>的</w:t>
            </w:r>
            <w:r>
              <w:rPr>
                <w:rFonts w:hint="eastAsia" w:ascii="方正仿宋_GBK" w:hAnsi="方正仿宋_GBK" w:eastAsia="方正仿宋_GBK" w:cs="方正仿宋_GBK"/>
                <w:i w:val="0"/>
                <w:iCs w:val="0"/>
                <w:caps w:val="0"/>
                <w:color w:val="auto"/>
                <w:spacing w:val="0"/>
                <w:sz w:val="28"/>
                <w:szCs w:val="28"/>
                <w:lang w:eastAsia="zh-CN"/>
              </w:rPr>
              <w:t>；</w:t>
            </w:r>
          </w:p>
        </w:tc>
        <w:tc>
          <w:tcPr>
            <w:tcW w:w="2466" w:type="dxa"/>
            <w:noWrap w:val="0"/>
            <w:vAlign w:val="center"/>
          </w:tcPr>
          <w:p w14:paraId="04E51387">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对集中式供水单位</w:t>
            </w:r>
          </w:p>
        </w:tc>
        <w:tc>
          <w:tcPr>
            <w:tcW w:w="2696" w:type="dxa"/>
            <w:noWrap w:val="0"/>
            <w:vAlign w:val="center"/>
          </w:tcPr>
          <w:p w14:paraId="68908F9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没收违法所得，15.5万元≤罚款≤20万元</w:t>
            </w:r>
          </w:p>
        </w:tc>
      </w:tr>
      <w:tr w14:paraId="32CA7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7" w:hRule="atLeast"/>
        </w:trPr>
        <w:tc>
          <w:tcPr>
            <w:tcW w:w="1374" w:type="dxa"/>
            <w:vMerge w:val="continue"/>
            <w:noWrap w:val="0"/>
            <w:vAlign w:val="center"/>
          </w:tcPr>
          <w:p w14:paraId="5781633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2588" w:type="dxa"/>
            <w:vMerge w:val="continue"/>
            <w:noWrap w:val="0"/>
            <w:vAlign w:val="center"/>
          </w:tcPr>
          <w:p w14:paraId="6A5C33F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c>
          <w:tcPr>
            <w:tcW w:w="2466" w:type="dxa"/>
            <w:noWrap w:val="0"/>
            <w:vAlign w:val="center"/>
          </w:tcPr>
          <w:p w14:paraId="7F5DE35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对规模供水加压泵站、管道分质供水单位</w:t>
            </w:r>
          </w:p>
        </w:tc>
        <w:tc>
          <w:tcPr>
            <w:tcW w:w="2696" w:type="dxa"/>
            <w:noWrap w:val="0"/>
            <w:vAlign w:val="center"/>
          </w:tcPr>
          <w:p w14:paraId="02D149F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没收违法所得，4.1万元≤罚款≤5万元</w:t>
            </w:r>
          </w:p>
        </w:tc>
      </w:tr>
      <w:tr w14:paraId="3BE8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374" w:type="dxa"/>
            <w:vMerge w:val="restart"/>
            <w:noWrap w:val="0"/>
            <w:vAlign w:val="center"/>
          </w:tcPr>
          <w:p w14:paraId="1C0857F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lang w:val="en-US" w:eastAsia="zh-CN"/>
              </w:rPr>
            </w:pPr>
            <w:r>
              <w:rPr>
                <w:rFonts w:hint="eastAsia" w:ascii="方正仿宋_GBK" w:hAnsi="方正仿宋_GBK" w:eastAsia="方正仿宋_GBK" w:cs="方正仿宋_GBK"/>
                <w:color w:val="auto"/>
                <w:kern w:val="0"/>
                <w:sz w:val="28"/>
                <w:szCs w:val="28"/>
                <w:lang w:val="en-US" w:eastAsia="zh-CN"/>
              </w:rPr>
              <w:t>情节严重</w:t>
            </w:r>
          </w:p>
        </w:tc>
        <w:tc>
          <w:tcPr>
            <w:tcW w:w="2588" w:type="dxa"/>
            <w:vMerge w:val="restart"/>
            <w:noWrap w:val="0"/>
            <w:vAlign w:val="center"/>
          </w:tcPr>
          <w:p w14:paraId="5C85023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rPr>
              <w:t>集中式供水水质不符合国家生活饮用水卫生标准</w:t>
            </w:r>
            <w:r>
              <w:rPr>
                <w:rFonts w:hint="eastAsia" w:ascii="方正仿宋_GBK" w:hAnsi="方正仿宋_GBK" w:eastAsia="方正仿宋_GBK" w:cs="方正仿宋_GBK"/>
                <w:color w:val="auto"/>
                <w:kern w:val="0"/>
                <w:sz w:val="28"/>
                <w:szCs w:val="28"/>
                <w:lang w:val="en-US" w:eastAsia="zh-CN"/>
              </w:rPr>
              <w:t>，</w:t>
            </w:r>
            <w:r>
              <w:rPr>
                <w:rFonts w:hint="eastAsia" w:ascii="方正仿宋_GBK" w:hAnsi="方正仿宋_GBK" w:eastAsia="方正仿宋_GBK" w:cs="方正仿宋_GBK"/>
                <w:i w:val="0"/>
                <w:iCs w:val="0"/>
                <w:caps w:val="0"/>
                <w:color w:val="auto"/>
                <w:spacing w:val="0"/>
                <w:sz w:val="28"/>
                <w:szCs w:val="28"/>
              </w:rPr>
              <w:t>具有《</w:t>
            </w:r>
            <w:r>
              <w:rPr>
                <w:rFonts w:hint="eastAsia" w:ascii="方正仿宋_GBK" w:hAnsi="方正仿宋_GBK" w:eastAsia="方正仿宋_GBK" w:cs="方正仿宋_GBK"/>
                <w:i w:val="0"/>
                <w:iCs w:val="0"/>
                <w:caps w:val="0"/>
                <w:color w:val="auto"/>
                <w:spacing w:val="0"/>
                <w:sz w:val="28"/>
                <w:szCs w:val="28"/>
                <w:lang w:val="en-US" w:eastAsia="zh-CN"/>
              </w:rPr>
              <w:t>江苏省卫生健康行政处罚</w:t>
            </w:r>
            <w:r>
              <w:rPr>
                <w:rFonts w:hint="eastAsia" w:ascii="方正仿宋_GBK" w:hAnsi="方正仿宋_GBK" w:eastAsia="方正仿宋_GBK" w:cs="方正仿宋_GBK"/>
                <w:i w:val="0"/>
                <w:iCs w:val="0"/>
                <w:caps w:val="0"/>
                <w:color w:val="auto"/>
                <w:spacing w:val="0"/>
                <w:sz w:val="28"/>
                <w:szCs w:val="28"/>
              </w:rPr>
              <w:t>裁量适用办法》从重情形。</w:t>
            </w:r>
          </w:p>
          <w:p w14:paraId="7A7F2ED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c>
          <w:tcPr>
            <w:tcW w:w="2466" w:type="dxa"/>
            <w:noWrap w:val="0"/>
            <w:vAlign w:val="center"/>
          </w:tcPr>
          <w:p w14:paraId="4D14423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rPr>
              <w:t>对集中式供水单位</w:t>
            </w:r>
          </w:p>
        </w:tc>
        <w:tc>
          <w:tcPr>
            <w:tcW w:w="2696" w:type="dxa"/>
            <w:noWrap w:val="0"/>
            <w:vAlign w:val="center"/>
          </w:tcPr>
          <w:p w14:paraId="18C57FE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rPr>
              <w:t>没收违法所得，罚款20万元，吊销卫生许可证</w:t>
            </w:r>
          </w:p>
        </w:tc>
      </w:tr>
      <w:tr w14:paraId="5B089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374" w:type="dxa"/>
            <w:vMerge w:val="continue"/>
            <w:noWrap w:val="0"/>
            <w:vAlign w:val="center"/>
          </w:tcPr>
          <w:p w14:paraId="47D6A84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p>
        </w:tc>
        <w:tc>
          <w:tcPr>
            <w:tcW w:w="2588" w:type="dxa"/>
            <w:vMerge w:val="continue"/>
            <w:noWrap w:val="0"/>
            <w:vAlign w:val="center"/>
          </w:tcPr>
          <w:p w14:paraId="2AB5A65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p>
        </w:tc>
        <w:tc>
          <w:tcPr>
            <w:tcW w:w="2466" w:type="dxa"/>
            <w:noWrap w:val="0"/>
            <w:vAlign w:val="center"/>
          </w:tcPr>
          <w:p w14:paraId="62D999A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rPr>
              <w:t>对规模供水加压泵站、管道分质供水单位</w:t>
            </w:r>
          </w:p>
        </w:tc>
        <w:tc>
          <w:tcPr>
            <w:tcW w:w="2696" w:type="dxa"/>
            <w:noWrap w:val="0"/>
            <w:vAlign w:val="center"/>
          </w:tcPr>
          <w:p w14:paraId="5795BA4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lang w:val="en-US" w:eastAsia="zh-CN" w:bidi="ar-SA"/>
              </w:rPr>
            </w:pPr>
            <w:r>
              <w:rPr>
                <w:rFonts w:hint="eastAsia" w:ascii="方正仿宋_GBK" w:hAnsi="方正仿宋_GBK" w:eastAsia="方正仿宋_GBK" w:cs="方正仿宋_GBK"/>
                <w:color w:val="auto"/>
                <w:kern w:val="0"/>
                <w:sz w:val="28"/>
                <w:szCs w:val="28"/>
              </w:rPr>
              <w:t>没收违法所得，罚款5万元，吊销卫生许可证</w:t>
            </w:r>
          </w:p>
        </w:tc>
      </w:tr>
    </w:tbl>
    <w:p w14:paraId="279DB4B5">
      <w:pPr>
        <w:spacing w:line="560" w:lineRule="exact"/>
        <w:rPr>
          <w:rFonts w:ascii="Times New Roman" w:hAnsi="Times New Roman" w:eastAsia="仿宋_GB2312" w:cs="Times New Roman"/>
          <w:color w:val="auto"/>
          <w:sz w:val="32"/>
          <w:szCs w:val="32"/>
        </w:rPr>
      </w:pPr>
    </w:p>
    <w:p w14:paraId="531FB0B0">
      <w:pPr>
        <w:spacing w:line="560" w:lineRule="exact"/>
        <w:ind w:firstLine="640" w:firstLineChars="200"/>
        <w:jc w:val="center"/>
        <w:rPr>
          <w:rFonts w:hint="eastAsia" w:ascii="方正黑体_GBK" w:hAnsi="方正黑体_GBK" w:eastAsia="方正黑体_GBK" w:cs="方正黑体_GBK"/>
          <w:color w:val="auto"/>
          <w:sz w:val="32"/>
          <w:szCs w:val="32"/>
          <w:lang w:eastAsia="zh-CN"/>
        </w:rPr>
      </w:pPr>
      <w:r>
        <w:rPr>
          <w:rFonts w:hint="eastAsia" w:ascii="方正黑体_GBK" w:hAnsi="方正黑体_GBK" w:eastAsia="方正黑体_GBK" w:cs="方正黑体_GBK"/>
          <w:color w:val="auto"/>
          <w:sz w:val="32"/>
          <w:szCs w:val="32"/>
          <w:lang w:val="en-US" w:eastAsia="zh-CN"/>
        </w:rPr>
        <w:t>五、</w:t>
      </w:r>
      <w:r>
        <w:rPr>
          <w:rFonts w:hint="eastAsia" w:ascii="方正黑体_GBK" w:hAnsi="方正黑体_GBK" w:eastAsia="方正黑体_GBK" w:cs="方正黑体_GBK"/>
          <w:color w:val="auto"/>
          <w:sz w:val="32"/>
          <w:szCs w:val="32"/>
          <w:lang w:eastAsia="zh-CN"/>
        </w:rPr>
        <w:t>《生活饮用水卫生监督管理办法》</w:t>
      </w:r>
    </w:p>
    <w:p w14:paraId="58F5F3C9">
      <w:pPr>
        <w:spacing w:line="560" w:lineRule="exact"/>
        <w:ind w:firstLine="640" w:firstLineChars="200"/>
        <w:jc w:val="center"/>
        <w:rPr>
          <w:rFonts w:hint="eastAsia" w:ascii="Times New Roman" w:hAnsi="Times New Roman" w:eastAsia="黑体" w:cs="Times New Roman"/>
          <w:color w:val="auto"/>
          <w:sz w:val="32"/>
          <w:szCs w:val="32"/>
          <w:lang w:eastAsia="zh-CN"/>
        </w:rPr>
      </w:pPr>
    </w:p>
    <w:p w14:paraId="617BAB2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案由一：</w:t>
      </w:r>
      <w:r>
        <w:rPr>
          <w:rFonts w:hint="eastAsia" w:ascii="方正楷体_GBK" w:hAnsi="方正楷体_GBK" w:eastAsia="方正楷体_GBK" w:cs="方正楷体_GBK"/>
          <w:color w:val="auto"/>
          <w:sz w:val="32"/>
          <w:szCs w:val="32"/>
        </w:rPr>
        <w:t>集中式供水单位安排未取得体检合格证的人员从事直接供、管水工作或安排患有有碍饮用水卫生疾病的或病原携带者从事直接供、管水工作的</w:t>
      </w:r>
    </w:p>
    <w:p w14:paraId="62AA32C7">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637EA65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《生活饮用水卫生监督管理办法》第二十五条　集中式供水单位安排未取得体检合格证的人员从事直接供、管水工作或安排患有有碍饮用水卫生疾病的或病原携带者从事直接供、管水工作的，县级以上地方人民政府卫生计生主管部门应当责令限期改进，并可对供水单位处以20元以上1000元以下的罚款。</w:t>
      </w:r>
    </w:p>
    <w:p w14:paraId="23813030">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9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5047"/>
        <w:gridCol w:w="2587"/>
      </w:tblGrid>
      <w:tr w14:paraId="48221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440" w:type="dxa"/>
            <w:noWrap/>
            <w:vAlign w:val="center"/>
          </w:tcPr>
          <w:p w14:paraId="25211B3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5047" w:type="dxa"/>
            <w:noWrap/>
            <w:vAlign w:val="center"/>
          </w:tcPr>
          <w:p w14:paraId="32A8AE30">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587" w:type="dxa"/>
            <w:noWrap w:val="0"/>
            <w:vAlign w:val="center"/>
          </w:tcPr>
          <w:p w14:paraId="4322D196">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00BC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1440" w:type="dxa"/>
            <w:noWrap/>
            <w:vAlign w:val="center"/>
          </w:tcPr>
          <w:p w14:paraId="49FA2DC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rPr>
              <w:t>情节</w:t>
            </w:r>
            <w:r>
              <w:rPr>
                <w:rFonts w:hint="eastAsia" w:ascii="方正仿宋_GBK" w:hAnsi="方正仿宋_GBK" w:eastAsia="方正仿宋_GBK" w:cs="方正仿宋_GBK"/>
                <w:color w:val="auto"/>
                <w:kern w:val="0"/>
                <w:sz w:val="28"/>
                <w:szCs w:val="28"/>
                <w:lang w:eastAsia="zh-CN"/>
              </w:rPr>
              <w:t>轻微</w:t>
            </w:r>
          </w:p>
        </w:tc>
        <w:tc>
          <w:tcPr>
            <w:tcW w:w="5047" w:type="dxa"/>
            <w:noWrap w:val="0"/>
            <w:vAlign w:val="center"/>
          </w:tcPr>
          <w:p w14:paraId="1EA40D08">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集中式供水单位安排</w:t>
            </w:r>
            <w:r>
              <w:rPr>
                <w:rFonts w:hint="eastAsia" w:ascii="方正仿宋_GBK" w:hAnsi="方正仿宋_GBK" w:eastAsia="方正仿宋_GBK" w:cs="方正仿宋_GBK"/>
                <w:color w:val="auto"/>
                <w:kern w:val="0"/>
                <w:sz w:val="28"/>
                <w:szCs w:val="28"/>
                <w:lang w:val="en-US" w:eastAsia="zh-CN"/>
              </w:rPr>
              <w:t>1-2</w:t>
            </w:r>
            <w:r>
              <w:rPr>
                <w:rFonts w:hint="eastAsia" w:ascii="方正仿宋_GBK" w:hAnsi="方正仿宋_GBK" w:eastAsia="方正仿宋_GBK" w:cs="方正仿宋_GBK"/>
                <w:color w:val="auto"/>
                <w:kern w:val="0"/>
                <w:sz w:val="28"/>
                <w:szCs w:val="28"/>
              </w:rPr>
              <w:t>名未取得体检合格证的人员从事直接供、管水工作的</w:t>
            </w:r>
          </w:p>
        </w:tc>
        <w:tc>
          <w:tcPr>
            <w:tcW w:w="2587" w:type="dxa"/>
            <w:noWrap w:val="0"/>
            <w:vAlign w:val="center"/>
          </w:tcPr>
          <w:p w14:paraId="786B6B8B">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责令限期改进</w:t>
            </w:r>
          </w:p>
        </w:tc>
      </w:tr>
      <w:tr w14:paraId="5CC8D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1440" w:type="dxa"/>
            <w:noWrap/>
            <w:vAlign w:val="center"/>
          </w:tcPr>
          <w:p w14:paraId="0DC5B988">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w:t>
            </w:r>
            <w:r>
              <w:rPr>
                <w:rFonts w:hint="eastAsia" w:ascii="方正仿宋_GBK" w:hAnsi="方正仿宋_GBK" w:eastAsia="方正仿宋_GBK" w:cs="方正仿宋_GBK"/>
                <w:color w:val="auto"/>
                <w:kern w:val="0"/>
                <w:sz w:val="28"/>
                <w:szCs w:val="28"/>
                <w:lang w:eastAsia="zh-CN"/>
              </w:rPr>
              <w:t>较轻</w:t>
            </w:r>
          </w:p>
        </w:tc>
        <w:tc>
          <w:tcPr>
            <w:tcW w:w="5047" w:type="dxa"/>
            <w:noWrap w:val="0"/>
            <w:vAlign w:val="center"/>
          </w:tcPr>
          <w:p w14:paraId="69C42DC2">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集中式供水单位安排</w:t>
            </w:r>
            <w:r>
              <w:rPr>
                <w:rFonts w:hint="eastAsia" w:ascii="方正仿宋_GBK" w:hAnsi="方正仿宋_GBK" w:eastAsia="方正仿宋_GBK" w:cs="方正仿宋_GBK"/>
                <w:color w:val="auto"/>
                <w:kern w:val="0"/>
                <w:sz w:val="28"/>
                <w:szCs w:val="28"/>
                <w:lang w:val="en-US" w:eastAsia="zh-CN"/>
              </w:rPr>
              <w:t>3</w:t>
            </w:r>
            <w:r>
              <w:rPr>
                <w:rFonts w:hint="eastAsia" w:ascii="方正仿宋_GBK" w:hAnsi="方正仿宋_GBK" w:eastAsia="方正仿宋_GBK" w:cs="方正仿宋_GBK"/>
                <w:color w:val="auto"/>
                <w:kern w:val="0"/>
                <w:sz w:val="28"/>
                <w:szCs w:val="28"/>
              </w:rPr>
              <w:t>-</w:t>
            </w:r>
            <w:r>
              <w:rPr>
                <w:rFonts w:hint="eastAsia" w:ascii="方正仿宋_GBK" w:hAnsi="方正仿宋_GBK" w:eastAsia="方正仿宋_GBK" w:cs="方正仿宋_GBK"/>
                <w:color w:val="auto"/>
                <w:kern w:val="0"/>
                <w:sz w:val="28"/>
                <w:szCs w:val="28"/>
                <w:lang w:val="en-US" w:eastAsia="zh-CN"/>
              </w:rPr>
              <w:t>5</w:t>
            </w:r>
            <w:r>
              <w:rPr>
                <w:rFonts w:hint="eastAsia" w:ascii="方正仿宋_GBK" w:hAnsi="方正仿宋_GBK" w:eastAsia="方正仿宋_GBK" w:cs="方正仿宋_GBK"/>
                <w:color w:val="auto"/>
                <w:kern w:val="0"/>
                <w:sz w:val="28"/>
                <w:szCs w:val="28"/>
              </w:rPr>
              <w:t>名未取得体检合格证的人员从事直接供、管水工作的</w:t>
            </w:r>
          </w:p>
        </w:tc>
        <w:tc>
          <w:tcPr>
            <w:tcW w:w="2587" w:type="dxa"/>
            <w:noWrap w:val="0"/>
            <w:vAlign w:val="center"/>
          </w:tcPr>
          <w:p w14:paraId="050BB5F2">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rPr>
              <w:t>20 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w:t>
            </w:r>
            <w:r>
              <w:rPr>
                <w:rFonts w:hint="eastAsia" w:ascii="方正仿宋_GBK" w:hAnsi="方正仿宋_GBK" w:eastAsia="方正仿宋_GBK" w:cs="方正仿宋_GBK"/>
                <w:color w:val="auto"/>
                <w:kern w:val="0"/>
                <w:sz w:val="28"/>
                <w:szCs w:val="28"/>
                <w:lang w:val="en-US" w:eastAsia="zh-CN"/>
              </w:rPr>
              <w:t>300</w:t>
            </w:r>
            <w:r>
              <w:rPr>
                <w:rFonts w:hint="eastAsia" w:ascii="方正仿宋_GBK" w:hAnsi="方正仿宋_GBK" w:eastAsia="方正仿宋_GBK" w:cs="方正仿宋_GBK"/>
                <w:color w:val="auto"/>
                <w:kern w:val="0"/>
                <w:sz w:val="28"/>
                <w:szCs w:val="28"/>
              </w:rPr>
              <w:t>元</w:t>
            </w:r>
          </w:p>
        </w:tc>
      </w:tr>
      <w:tr w14:paraId="23D4F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440" w:type="dxa"/>
            <w:noWrap/>
            <w:vAlign w:val="center"/>
          </w:tcPr>
          <w:p w14:paraId="22E11A7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w:t>
            </w:r>
            <w:r>
              <w:rPr>
                <w:rFonts w:hint="eastAsia" w:ascii="方正仿宋_GBK" w:hAnsi="方正仿宋_GBK" w:eastAsia="方正仿宋_GBK" w:cs="方正仿宋_GBK"/>
                <w:color w:val="auto"/>
                <w:kern w:val="0"/>
                <w:sz w:val="28"/>
                <w:szCs w:val="28"/>
                <w:lang w:eastAsia="zh-CN"/>
              </w:rPr>
              <w:t>一般</w:t>
            </w:r>
          </w:p>
        </w:tc>
        <w:tc>
          <w:tcPr>
            <w:tcW w:w="5047" w:type="dxa"/>
            <w:noWrap w:val="0"/>
            <w:vAlign w:val="center"/>
          </w:tcPr>
          <w:p w14:paraId="27FFCAED">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有</w:t>
            </w:r>
            <w:r>
              <w:rPr>
                <w:rFonts w:hint="eastAsia" w:ascii="方正仿宋_GBK" w:hAnsi="方正仿宋_GBK" w:eastAsia="方正仿宋_GBK" w:cs="方正仿宋_GBK"/>
                <w:color w:val="auto"/>
                <w:kern w:val="0"/>
                <w:sz w:val="28"/>
                <w:szCs w:val="28"/>
                <w:lang w:val="en-US" w:eastAsia="zh-CN"/>
              </w:rPr>
              <w:t>6-</w:t>
            </w:r>
            <w:r>
              <w:rPr>
                <w:rFonts w:hint="eastAsia" w:ascii="方正仿宋_GBK" w:hAnsi="方正仿宋_GBK" w:eastAsia="方正仿宋_GBK" w:cs="方正仿宋_GBK"/>
                <w:color w:val="auto"/>
                <w:kern w:val="0"/>
                <w:sz w:val="28"/>
                <w:szCs w:val="28"/>
              </w:rPr>
              <w:t>10人以上未取得体检合格证明从事直接供、管水工作</w:t>
            </w:r>
            <w:r>
              <w:rPr>
                <w:rFonts w:hint="eastAsia" w:ascii="方正仿宋_GBK" w:hAnsi="方正仿宋_GBK" w:eastAsia="方正仿宋_GBK" w:cs="方正仿宋_GBK"/>
                <w:color w:val="auto"/>
                <w:kern w:val="0"/>
                <w:sz w:val="28"/>
                <w:szCs w:val="28"/>
                <w:lang w:eastAsia="zh-CN"/>
              </w:rPr>
              <w:t>的</w:t>
            </w:r>
          </w:p>
        </w:tc>
        <w:tc>
          <w:tcPr>
            <w:tcW w:w="2587" w:type="dxa"/>
            <w:noWrap w:val="0"/>
            <w:vAlign w:val="center"/>
          </w:tcPr>
          <w:p w14:paraId="0264FCDE">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lang w:val="en-US" w:eastAsia="zh-CN"/>
              </w:rPr>
              <w:t>300</w:t>
            </w:r>
            <w:r>
              <w:rPr>
                <w:rFonts w:hint="eastAsia" w:ascii="方正仿宋_GBK" w:hAnsi="方正仿宋_GBK" w:eastAsia="方正仿宋_GBK" w:cs="方正仿宋_GBK"/>
                <w:color w:val="auto"/>
                <w:kern w:val="0"/>
                <w:sz w:val="28"/>
                <w:szCs w:val="28"/>
              </w:rPr>
              <w:t xml:space="preserve"> 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w:t>
            </w:r>
            <w:r>
              <w:rPr>
                <w:rFonts w:hint="eastAsia" w:ascii="方正仿宋_GBK" w:hAnsi="方正仿宋_GBK" w:eastAsia="方正仿宋_GBK" w:cs="方正仿宋_GBK"/>
                <w:color w:val="auto"/>
                <w:kern w:val="0"/>
                <w:sz w:val="28"/>
                <w:szCs w:val="28"/>
                <w:lang w:val="en-US" w:eastAsia="zh-CN"/>
              </w:rPr>
              <w:t>700</w:t>
            </w:r>
            <w:r>
              <w:rPr>
                <w:rFonts w:hint="eastAsia" w:ascii="方正仿宋_GBK" w:hAnsi="方正仿宋_GBK" w:eastAsia="方正仿宋_GBK" w:cs="方正仿宋_GBK"/>
                <w:color w:val="auto"/>
                <w:kern w:val="0"/>
                <w:sz w:val="28"/>
                <w:szCs w:val="28"/>
              </w:rPr>
              <w:t>元</w:t>
            </w:r>
          </w:p>
        </w:tc>
      </w:tr>
      <w:tr w14:paraId="53492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40" w:type="dxa"/>
            <w:noWrap/>
            <w:vAlign w:val="center"/>
          </w:tcPr>
          <w:p w14:paraId="4C86C6D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5047" w:type="dxa"/>
            <w:noWrap w:val="0"/>
            <w:vAlign w:val="center"/>
          </w:tcPr>
          <w:p w14:paraId="0E81A1DB">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有10人以上未取得体检合格证明从事直接供、管水工作或在未取得体检合格证明的人员中经体检发现患有有碍饮用水卫生疾病者或病原携带者的</w:t>
            </w:r>
          </w:p>
        </w:tc>
        <w:tc>
          <w:tcPr>
            <w:tcW w:w="2587" w:type="dxa"/>
            <w:noWrap w:val="0"/>
            <w:vAlign w:val="center"/>
          </w:tcPr>
          <w:p w14:paraId="18982F48">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lang w:val="en-US" w:eastAsia="zh-CN"/>
              </w:rPr>
              <w:t>700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≤1000 元</w:t>
            </w:r>
          </w:p>
        </w:tc>
      </w:tr>
    </w:tbl>
    <w:p w14:paraId="125D8CA3">
      <w:pPr>
        <w:spacing w:line="560" w:lineRule="exact"/>
        <w:ind w:firstLine="640" w:firstLineChars="200"/>
        <w:rPr>
          <w:rFonts w:ascii="Times New Roman" w:hAnsi="Times New Roman" w:eastAsia="仿宋_GB2312" w:cs="Times New Roman"/>
          <w:color w:val="auto"/>
          <w:sz w:val="32"/>
          <w:szCs w:val="32"/>
        </w:rPr>
      </w:pPr>
    </w:p>
    <w:p w14:paraId="02ACEBF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案由二</w:t>
      </w:r>
      <w:r>
        <w:rPr>
          <w:rFonts w:hint="eastAsia" w:ascii="方正楷体_GBK" w:hAnsi="方正楷体_GBK" w:eastAsia="方正楷体_GBK" w:cs="方正楷体_GBK"/>
          <w:color w:val="auto"/>
          <w:sz w:val="32"/>
          <w:szCs w:val="32"/>
        </w:rPr>
        <w:t>：在饮用水水源保护区修建危害水源水质卫生的设施或进行有碍水源水质卫生的作业的</w:t>
      </w:r>
    </w:p>
    <w:p w14:paraId="3E49EAFC">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15F7E38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《生活饮用水卫生监督管理办法》第二十六条　违反本办法规定，有下列情形之一的，县级以上地方人民政府卫生计生主管部门应当责令限期改进，并可处以20元以上5000元以下的罚款：（一）在饮用水水源保护区修建危害水源水质卫生的设施或进行有碍水源水质卫生的作业的；</w:t>
      </w:r>
    </w:p>
    <w:p w14:paraId="3CB47258">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8780" w:type="dxa"/>
        <w:tblInd w:w="0" w:type="dxa"/>
        <w:tblLayout w:type="autofit"/>
        <w:tblCellMar>
          <w:top w:w="0" w:type="dxa"/>
          <w:left w:w="108" w:type="dxa"/>
          <w:bottom w:w="0" w:type="dxa"/>
          <w:right w:w="108" w:type="dxa"/>
        </w:tblCellMar>
      </w:tblPr>
      <w:tblGrid>
        <w:gridCol w:w="1440"/>
        <w:gridCol w:w="4720"/>
        <w:gridCol w:w="2620"/>
      </w:tblGrid>
      <w:tr w14:paraId="146F62A1">
        <w:tblPrEx>
          <w:tblCellMar>
            <w:top w:w="0" w:type="dxa"/>
            <w:left w:w="108" w:type="dxa"/>
            <w:bottom w:w="0" w:type="dxa"/>
            <w:right w:w="108" w:type="dxa"/>
          </w:tblCellMar>
        </w:tblPrEx>
        <w:trPr>
          <w:trHeight w:val="525" w:hRule="atLeast"/>
        </w:trPr>
        <w:tc>
          <w:tcPr>
            <w:tcW w:w="1440" w:type="dxa"/>
            <w:tcBorders>
              <w:top w:val="single" w:color="auto" w:sz="4" w:space="0"/>
              <w:left w:val="single" w:color="auto" w:sz="4" w:space="0"/>
              <w:bottom w:val="nil"/>
              <w:right w:val="single" w:color="auto" w:sz="4" w:space="0"/>
            </w:tcBorders>
            <w:noWrap/>
            <w:vAlign w:val="center"/>
          </w:tcPr>
          <w:p w14:paraId="61897AC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20" w:type="dxa"/>
            <w:tcBorders>
              <w:top w:val="single" w:color="auto" w:sz="4" w:space="0"/>
              <w:left w:val="nil"/>
              <w:bottom w:val="single" w:color="auto" w:sz="4" w:space="0"/>
              <w:right w:val="single" w:color="000000" w:sz="4" w:space="0"/>
            </w:tcBorders>
            <w:noWrap/>
            <w:vAlign w:val="center"/>
          </w:tcPr>
          <w:p w14:paraId="0C1F908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620" w:type="dxa"/>
            <w:tcBorders>
              <w:top w:val="single" w:color="auto" w:sz="4" w:space="0"/>
              <w:left w:val="nil"/>
              <w:bottom w:val="nil"/>
              <w:right w:val="single" w:color="auto" w:sz="4" w:space="0"/>
            </w:tcBorders>
            <w:noWrap w:val="0"/>
            <w:vAlign w:val="center"/>
          </w:tcPr>
          <w:p w14:paraId="6222B58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38436B7E">
        <w:tblPrEx>
          <w:tblCellMar>
            <w:top w:w="0" w:type="dxa"/>
            <w:left w:w="108" w:type="dxa"/>
            <w:bottom w:w="0" w:type="dxa"/>
            <w:right w:w="108" w:type="dxa"/>
          </w:tblCellMar>
        </w:tblPrEx>
        <w:trPr>
          <w:trHeight w:val="780" w:hRule="atLeast"/>
        </w:trPr>
        <w:tc>
          <w:tcPr>
            <w:tcW w:w="1440" w:type="dxa"/>
            <w:tcBorders>
              <w:top w:val="single" w:color="auto" w:sz="4" w:space="0"/>
              <w:left w:val="single" w:color="auto" w:sz="4" w:space="0"/>
              <w:bottom w:val="single" w:color="auto" w:sz="4" w:space="0"/>
              <w:right w:val="single" w:color="auto" w:sz="4" w:space="0"/>
            </w:tcBorders>
            <w:noWrap/>
            <w:vAlign w:val="center"/>
          </w:tcPr>
          <w:p w14:paraId="2155317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720" w:type="dxa"/>
            <w:tcBorders>
              <w:top w:val="single" w:color="auto" w:sz="4" w:space="0"/>
              <w:left w:val="nil"/>
              <w:bottom w:val="single" w:color="auto" w:sz="4" w:space="0"/>
              <w:right w:val="single" w:color="000000" w:sz="4" w:space="0"/>
            </w:tcBorders>
            <w:noWrap w:val="0"/>
            <w:vAlign w:val="center"/>
          </w:tcPr>
          <w:p w14:paraId="64BA531F">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在饮用水水源保护区修建危害水源水质卫生的设施或进行有碍水源水质卫生的作业，经发现后立即停止并完成整改，且未造成水源污染事件的</w:t>
            </w:r>
          </w:p>
        </w:tc>
        <w:tc>
          <w:tcPr>
            <w:tcW w:w="2620" w:type="dxa"/>
            <w:tcBorders>
              <w:top w:val="single" w:color="auto" w:sz="4" w:space="0"/>
              <w:left w:val="nil"/>
              <w:bottom w:val="single" w:color="auto" w:sz="4" w:space="0"/>
              <w:right w:val="single" w:color="auto" w:sz="4" w:space="0"/>
            </w:tcBorders>
            <w:noWrap w:val="0"/>
            <w:vAlign w:val="center"/>
          </w:tcPr>
          <w:p w14:paraId="7FA155BE">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rPr>
              <w:t>20 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＜15</w:t>
            </w:r>
            <w:r>
              <w:rPr>
                <w:rFonts w:hint="eastAsia" w:ascii="方正仿宋_GBK" w:hAnsi="方正仿宋_GBK" w:eastAsia="方正仿宋_GBK" w:cs="方正仿宋_GBK"/>
                <w:color w:val="auto"/>
                <w:kern w:val="0"/>
                <w:sz w:val="28"/>
                <w:szCs w:val="28"/>
                <w:lang w:val="en-US" w:eastAsia="zh-CN"/>
              </w:rPr>
              <w:t>00</w:t>
            </w:r>
            <w:r>
              <w:rPr>
                <w:rFonts w:hint="eastAsia" w:ascii="方正仿宋_GBK" w:hAnsi="方正仿宋_GBK" w:eastAsia="方正仿宋_GBK" w:cs="方正仿宋_GBK"/>
                <w:color w:val="auto"/>
                <w:kern w:val="0"/>
                <w:sz w:val="28"/>
                <w:szCs w:val="28"/>
              </w:rPr>
              <w:t>元</w:t>
            </w:r>
          </w:p>
        </w:tc>
      </w:tr>
      <w:tr w14:paraId="5330857D">
        <w:tblPrEx>
          <w:tblCellMar>
            <w:top w:w="0" w:type="dxa"/>
            <w:left w:w="108" w:type="dxa"/>
            <w:bottom w:w="0" w:type="dxa"/>
            <w:right w:w="108" w:type="dxa"/>
          </w:tblCellMar>
        </w:tblPrEx>
        <w:trPr>
          <w:trHeight w:val="870" w:hRule="atLeast"/>
        </w:trPr>
        <w:tc>
          <w:tcPr>
            <w:tcW w:w="1440" w:type="dxa"/>
            <w:tcBorders>
              <w:top w:val="nil"/>
              <w:left w:val="single" w:color="auto" w:sz="4" w:space="0"/>
              <w:bottom w:val="single" w:color="auto" w:sz="4" w:space="0"/>
              <w:right w:val="single" w:color="auto" w:sz="4" w:space="0"/>
            </w:tcBorders>
            <w:noWrap/>
            <w:vAlign w:val="center"/>
          </w:tcPr>
          <w:p w14:paraId="29ACA326">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720" w:type="dxa"/>
            <w:tcBorders>
              <w:top w:val="single" w:color="auto" w:sz="4" w:space="0"/>
              <w:left w:val="nil"/>
              <w:bottom w:val="single" w:color="auto" w:sz="4" w:space="0"/>
              <w:right w:val="single" w:color="000000" w:sz="4" w:space="0"/>
            </w:tcBorders>
            <w:noWrap w:val="0"/>
            <w:vAlign w:val="center"/>
          </w:tcPr>
          <w:p w14:paraId="04A87185">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在饮用水水源保护区修建危害水源水质卫生的设施或进行有碍水源水质卫生的作业，经发现后在2周内完成整改，且未造成水源污染事件的</w:t>
            </w:r>
          </w:p>
        </w:tc>
        <w:tc>
          <w:tcPr>
            <w:tcW w:w="2620" w:type="dxa"/>
            <w:tcBorders>
              <w:top w:val="nil"/>
              <w:left w:val="nil"/>
              <w:bottom w:val="single" w:color="auto" w:sz="4" w:space="0"/>
              <w:right w:val="single" w:color="auto" w:sz="4" w:space="0"/>
            </w:tcBorders>
            <w:noWrap w:val="0"/>
            <w:vAlign w:val="center"/>
          </w:tcPr>
          <w:p w14:paraId="24D3E721">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 xml:space="preserve"> </w:t>
            </w: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rPr>
              <w:t>15</w:t>
            </w:r>
            <w:r>
              <w:rPr>
                <w:rFonts w:hint="eastAsia" w:ascii="方正仿宋_GBK" w:hAnsi="方正仿宋_GBK" w:eastAsia="方正仿宋_GBK" w:cs="方正仿宋_GBK"/>
                <w:color w:val="auto"/>
                <w:kern w:val="0"/>
                <w:sz w:val="28"/>
                <w:szCs w:val="28"/>
                <w:lang w:val="en-US" w:eastAsia="zh-CN"/>
              </w:rPr>
              <w:t>00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 350</w:t>
            </w:r>
            <w:r>
              <w:rPr>
                <w:rFonts w:hint="eastAsia" w:ascii="方正仿宋_GBK" w:hAnsi="方正仿宋_GBK" w:eastAsia="方正仿宋_GBK" w:cs="方正仿宋_GBK"/>
                <w:color w:val="auto"/>
                <w:kern w:val="0"/>
                <w:sz w:val="28"/>
                <w:szCs w:val="28"/>
                <w:lang w:val="en-US" w:eastAsia="zh-CN"/>
              </w:rPr>
              <w:t>0</w:t>
            </w:r>
            <w:r>
              <w:rPr>
                <w:rFonts w:hint="eastAsia" w:ascii="方正仿宋_GBK" w:hAnsi="方正仿宋_GBK" w:eastAsia="方正仿宋_GBK" w:cs="方正仿宋_GBK"/>
                <w:color w:val="auto"/>
                <w:kern w:val="0"/>
                <w:sz w:val="28"/>
                <w:szCs w:val="28"/>
              </w:rPr>
              <w:t xml:space="preserve"> 元</w:t>
            </w:r>
          </w:p>
        </w:tc>
      </w:tr>
      <w:tr w14:paraId="650A25FB">
        <w:tblPrEx>
          <w:tblCellMar>
            <w:top w:w="0" w:type="dxa"/>
            <w:left w:w="108" w:type="dxa"/>
            <w:bottom w:w="0" w:type="dxa"/>
            <w:right w:w="108" w:type="dxa"/>
          </w:tblCellMar>
        </w:tblPrEx>
        <w:trPr>
          <w:trHeight w:val="750" w:hRule="atLeast"/>
        </w:trPr>
        <w:tc>
          <w:tcPr>
            <w:tcW w:w="1440" w:type="dxa"/>
            <w:tcBorders>
              <w:top w:val="nil"/>
              <w:left w:val="single" w:color="auto" w:sz="4" w:space="0"/>
              <w:bottom w:val="single" w:color="auto" w:sz="4" w:space="0"/>
              <w:right w:val="single" w:color="auto" w:sz="4" w:space="0"/>
            </w:tcBorders>
            <w:noWrap/>
            <w:vAlign w:val="center"/>
          </w:tcPr>
          <w:p w14:paraId="5261E1A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720" w:type="dxa"/>
            <w:tcBorders>
              <w:top w:val="single" w:color="auto" w:sz="4" w:space="0"/>
              <w:left w:val="nil"/>
              <w:bottom w:val="single" w:color="auto" w:sz="4" w:space="0"/>
              <w:right w:val="single" w:color="000000" w:sz="4" w:space="0"/>
            </w:tcBorders>
            <w:noWrap w:val="0"/>
            <w:vAlign w:val="center"/>
          </w:tcPr>
          <w:p w14:paraId="7F13E237">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在饮用水水源保护区修建危害水源水质卫生的设施或进行有碍水源水质卫生的作业，经发现后在2周内未能完成整改，或造成水源污染事件的</w:t>
            </w:r>
          </w:p>
        </w:tc>
        <w:tc>
          <w:tcPr>
            <w:tcW w:w="2620" w:type="dxa"/>
            <w:tcBorders>
              <w:top w:val="nil"/>
              <w:left w:val="nil"/>
              <w:bottom w:val="single" w:color="auto" w:sz="4" w:space="0"/>
              <w:right w:val="single" w:color="auto" w:sz="4" w:space="0"/>
            </w:tcBorders>
            <w:noWrap w:val="0"/>
            <w:vAlign w:val="center"/>
          </w:tcPr>
          <w:p w14:paraId="6BED4305">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 xml:space="preserve"> </w:t>
            </w: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rPr>
              <w:t>350</w:t>
            </w:r>
            <w:r>
              <w:rPr>
                <w:rFonts w:hint="eastAsia" w:ascii="方正仿宋_GBK" w:hAnsi="方正仿宋_GBK" w:eastAsia="方正仿宋_GBK" w:cs="方正仿宋_GBK"/>
                <w:color w:val="auto"/>
                <w:kern w:val="0"/>
                <w:sz w:val="28"/>
                <w:szCs w:val="28"/>
                <w:lang w:val="en-US" w:eastAsia="zh-CN"/>
              </w:rPr>
              <w:t>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≤5000 元</w:t>
            </w:r>
          </w:p>
        </w:tc>
      </w:tr>
    </w:tbl>
    <w:p w14:paraId="3575DDEF">
      <w:pPr>
        <w:spacing w:line="560" w:lineRule="exact"/>
        <w:ind w:firstLine="640" w:firstLineChars="200"/>
        <w:rPr>
          <w:rFonts w:ascii="Times New Roman" w:hAnsi="Times New Roman" w:eastAsia="仿宋_GB2312" w:cs="Times New Roman"/>
          <w:color w:val="auto"/>
          <w:sz w:val="32"/>
          <w:szCs w:val="32"/>
        </w:rPr>
      </w:pPr>
    </w:p>
    <w:p w14:paraId="3488C29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w:t>
      </w:r>
      <w:r>
        <w:rPr>
          <w:rFonts w:hint="eastAsia" w:ascii="方正楷体_GBK" w:hAnsi="方正楷体_GBK" w:eastAsia="方正楷体_GBK" w:cs="方正楷体_GBK"/>
          <w:color w:val="auto"/>
          <w:sz w:val="32"/>
          <w:szCs w:val="32"/>
          <w:lang w:eastAsia="zh-CN"/>
        </w:rPr>
        <w:t>三</w:t>
      </w:r>
      <w:r>
        <w:rPr>
          <w:rFonts w:hint="eastAsia" w:ascii="方正楷体_GBK" w:hAnsi="方正楷体_GBK" w:eastAsia="方正楷体_GBK" w:cs="方正楷体_GBK"/>
          <w:color w:val="auto"/>
          <w:sz w:val="32"/>
          <w:szCs w:val="32"/>
        </w:rPr>
        <w:t>：新建、改建、扩建的饮用水供水项目未经卫生计生主管部门参加选址、设计审查和竣工验收而擅自供水的</w:t>
      </w:r>
    </w:p>
    <w:p w14:paraId="3B0FD28A">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191E5D2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《生活饮用水卫生监督管理办法》第二十六条　违反本办法规定，有下列情形之一的，县级以上地方人民政府卫生计生主管部门应当责令限期改进，并可处以20元以上5000元以下的罚款：（二）新建、改建、扩建的饮用水供水项目未经卫生计生主管部门参加选址、设计审查和竣工验收而擅自供水的；</w:t>
      </w:r>
    </w:p>
    <w:p w14:paraId="606A9E13">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8780" w:type="dxa"/>
        <w:tblInd w:w="0" w:type="dxa"/>
        <w:tblLayout w:type="autofit"/>
        <w:tblCellMar>
          <w:top w:w="0" w:type="dxa"/>
          <w:left w:w="108" w:type="dxa"/>
          <w:bottom w:w="0" w:type="dxa"/>
          <w:right w:w="108" w:type="dxa"/>
        </w:tblCellMar>
      </w:tblPr>
      <w:tblGrid>
        <w:gridCol w:w="1440"/>
        <w:gridCol w:w="4720"/>
        <w:gridCol w:w="2620"/>
      </w:tblGrid>
      <w:tr w14:paraId="66F41F33">
        <w:tblPrEx>
          <w:tblCellMar>
            <w:top w:w="0" w:type="dxa"/>
            <w:left w:w="108" w:type="dxa"/>
            <w:bottom w:w="0" w:type="dxa"/>
            <w:right w:w="108" w:type="dxa"/>
          </w:tblCellMar>
        </w:tblPrEx>
        <w:trPr>
          <w:trHeight w:val="525" w:hRule="atLeast"/>
        </w:trPr>
        <w:tc>
          <w:tcPr>
            <w:tcW w:w="1440" w:type="dxa"/>
            <w:tcBorders>
              <w:top w:val="single" w:color="auto" w:sz="4" w:space="0"/>
              <w:left w:val="single" w:color="auto" w:sz="4" w:space="0"/>
              <w:bottom w:val="nil"/>
              <w:right w:val="single" w:color="auto" w:sz="4" w:space="0"/>
            </w:tcBorders>
            <w:noWrap/>
            <w:vAlign w:val="center"/>
          </w:tcPr>
          <w:p w14:paraId="30C8730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20" w:type="dxa"/>
            <w:tcBorders>
              <w:top w:val="single" w:color="auto" w:sz="4" w:space="0"/>
              <w:left w:val="nil"/>
              <w:bottom w:val="single" w:color="auto" w:sz="4" w:space="0"/>
              <w:right w:val="single" w:color="000000" w:sz="4" w:space="0"/>
            </w:tcBorders>
            <w:noWrap/>
            <w:vAlign w:val="center"/>
          </w:tcPr>
          <w:p w14:paraId="5161CC1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620" w:type="dxa"/>
            <w:tcBorders>
              <w:top w:val="single" w:color="auto" w:sz="4" w:space="0"/>
              <w:left w:val="nil"/>
              <w:bottom w:val="nil"/>
              <w:right w:val="single" w:color="auto" w:sz="4" w:space="0"/>
            </w:tcBorders>
            <w:noWrap w:val="0"/>
            <w:vAlign w:val="center"/>
          </w:tcPr>
          <w:p w14:paraId="58120F79">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7C3D2B03">
        <w:tblPrEx>
          <w:tblCellMar>
            <w:top w:w="0" w:type="dxa"/>
            <w:left w:w="108" w:type="dxa"/>
            <w:bottom w:w="0" w:type="dxa"/>
            <w:right w:w="108" w:type="dxa"/>
          </w:tblCellMar>
        </w:tblPrEx>
        <w:trPr>
          <w:trHeight w:val="1205" w:hRule="atLeast"/>
        </w:trPr>
        <w:tc>
          <w:tcPr>
            <w:tcW w:w="1440" w:type="dxa"/>
            <w:tcBorders>
              <w:top w:val="single" w:color="auto" w:sz="4" w:space="0"/>
              <w:left w:val="single" w:color="auto" w:sz="4" w:space="0"/>
              <w:bottom w:val="single" w:color="auto" w:sz="4" w:space="0"/>
              <w:right w:val="single" w:color="auto" w:sz="4" w:space="0"/>
            </w:tcBorders>
            <w:noWrap/>
            <w:vAlign w:val="center"/>
          </w:tcPr>
          <w:p w14:paraId="7D2691D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情节较轻</w:t>
            </w:r>
          </w:p>
        </w:tc>
        <w:tc>
          <w:tcPr>
            <w:tcW w:w="4720" w:type="dxa"/>
            <w:tcBorders>
              <w:top w:val="single" w:color="auto" w:sz="4" w:space="0"/>
              <w:left w:val="nil"/>
              <w:bottom w:val="single" w:color="auto" w:sz="4" w:space="0"/>
              <w:right w:val="single" w:color="000000" w:sz="4" w:space="0"/>
            </w:tcBorders>
            <w:noWrap w:val="0"/>
            <w:vAlign w:val="center"/>
          </w:tcPr>
          <w:p w14:paraId="56077E23">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新建、改建、扩建饮用水供水项目的选址、设计审查和竣工验收中有1项未经卫生行政部门参加而擅自供水的</w:t>
            </w:r>
          </w:p>
        </w:tc>
        <w:tc>
          <w:tcPr>
            <w:tcW w:w="2620" w:type="dxa"/>
            <w:tcBorders>
              <w:top w:val="single" w:color="auto" w:sz="4" w:space="0"/>
              <w:left w:val="nil"/>
              <w:bottom w:val="single" w:color="auto" w:sz="4" w:space="0"/>
              <w:right w:val="single" w:color="auto" w:sz="4" w:space="0"/>
            </w:tcBorders>
            <w:noWrap w:val="0"/>
            <w:vAlign w:val="center"/>
          </w:tcPr>
          <w:p w14:paraId="7AE16E69">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kern w:val="0"/>
                <w:sz w:val="28"/>
                <w:szCs w:val="28"/>
              </w:rPr>
              <w:t>并20 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＜15</w:t>
            </w:r>
            <w:r>
              <w:rPr>
                <w:rFonts w:hint="eastAsia" w:ascii="方正仿宋_GBK" w:hAnsi="方正仿宋_GBK" w:eastAsia="方正仿宋_GBK" w:cs="方正仿宋_GBK"/>
                <w:color w:val="auto"/>
                <w:kern w:val="0"/>
                <w:sz w:val="28"/>
                <w:szCs w:val="28"/>
                <w:lang w:val="en-US" w:eastAsia="zh-CN"/>
              </w:rPr>
              <w:t>00</w:t>
            </w:r>
            <w:r>
              <w:rPr>
                <w:rFonts w:hint="eastAsia" w:ascii="方正仿宋_GBK" w:hAnsi="方正仿宋_GBK" w:eastAsia="方正仿宋_GBK" w:cs="方正仿宋_GBK"/>
                <w:color w:val="auto"/>
                <w:kern w:val="0"/>
                <w:sz w:val="28"/>
                <w:szCs w:val="28"/>
              </w:rPr>
              <w:t>元</w:t>
            </w:r>
          </w:p>
        </w:tc>
      </w:tr>
      <w:tr w14:paraId="05A0BCA4">
        <w:tblPrEx>
          <w:tblCellMar>
            <w:top w:w="0" w:type="dxa"/>
            <w:left w:w="108" w:type="dxa"/>
            <w:bottom w:w="0" w:type="dxa"/>
            <w:right w:w="108" w:type="dxa"/>
          </w:tblCellMar>
        </w:tblPrEx>
        <w:trPr>
          <w:trHeight w:val="1122" w:hRule="atLeast"/>
        </w:trPr>
        <w:tc>
          <w:tcPr>
            <w:tcW w:w="1440" w:type="dxa"/>
            <w:tcBorders>
              <w:top w:val="nil"/>
              <w:left w:val="single" w:color="auto" w:sz="4" w:space="0"/>
              <w:bottom w:val="single" w:color="auto" w:sz="4" w:space="0"/>
              <w:right w:val="single" w:color="auto" w:sz="4" w:space="0"/>
            </w:tcBorders>
            <w:noWrap/>
            <w:vAlign w:val="center"/>
          </w:tcPr>
          <w:p w14:paraId="60586EC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情节一般</w:t>
            </w:r>
          </w:p>
        </w:tc>
        <w:tc>
          <w:tcPr>
            <w:tcW w:w="4720" w:type="dxa"/>
            <w:tcBorders>
              <w:top w:val="single" w:color="auto" w:sz="4" w:space="0"/>
              <w:left w:val="nil"/>
              <w:bottom w:val="single" w:color="auto" w:sz="4" w:space="0"/>
              <w:right w:val="single" w:color="000000" w:sz="4" w:space="0"/>
            </w:tcBorders>
            <w:noWrap w:val="0"/>
            <w:vAlign w:val="center"/>
          </w:tcPr>
          <w:p w14:paraId="0C7B63CA">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新建、改建、扩建饮用水供水项目的选址、设计审查和竣工验收中有2项未经卫生行政部门参加而擅自供水的</w:t>
            </w:r>
          </w:p>
        </w:tc>
        <w:tc>
          <w:tcPr>
            <w:tcW w:w="2620" w:type="dxa"/>
            <w:tcBorders>
              <w:top w:val="nil"/>
              <w:left w:val="nil"/>
              <w:bottom w:val="single" w:color="auto" w:sz="4" w:space="0"/>
              <w:right w:val="single" w:color="auto" w:sz="4" w:space="0"/>
            </w:tcBorders>
            <w:noWrap w:val="0"/>
            <w:vAlign w:val="center"/>
          </w:tcPr>
          <w:p w14:paraId="209CE354">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kern w:val="0"/>
                <w:sz w:val="28"/>
                <w:szCs w:val="28"/>
              </w:rPr>
              <w:t>并 15</w:t>
            </w:r>
            <w:r>
              <w:rPr>
                <w:rFonts w:hint="eastAsia" w:ascii="方正仿宋_GBK" w:hAnsi="方正仿宋_GBK" w:eastAsia="方正仿宋_GBK" w:cs="方正仿宋_GBK"/>
                <w:color w:val="auto"/>
                <w:kern w:val="0"/>
                <w:sz w:val="28"/>
                <w:szCs w:val="28"/>
                <w:lang w:val="en-US" w:eastAsia="zh-CN"/>
              </w:rPr>
              <w:t>00</w:t>
            </w:r>
            <w:r>
              <w:rPr>
                <w:rFonts w:hint="eastAsia" w:ascii="方正仿宋_GBK" w:hAnsi="方正仿宋_GBK" w:eastAsia="方正仿宋_GBK" w:cs="方正仿宋_GBK"/>
                <w:color w:val="auto"/>
                <w:kern w:val="0"/>
                <w:sz w:val="28"/>
                <w:szCs w:val="28"/>
              </w:rPr>
              <w:t>元≤罚款 ＜ 350</w:t>
            </w:r>
            <w:r>
              <w:rPr>
                <w:rFonts w:hint="eastAsia" w:ascii="方正仿宋_GBK" w:hAnsi="方正仿宋_GBK" w:eastAsia="方正仿宋_GBK" w:cs="方正仿宋_GBK"/>
                <w:color w:val="auto"/>
                <w:kern w:val="0"/>
                <w:sz w:val="28"/>
                <w:szCs w:val="28"/>
                <w:lang w:val="en-US" w:eastAsia="zh-CN"/>
              </w:rPr>
              <w:t>0</w:t>
            </w:r>
            <w:r>
              <w:rPr>
                <w:rFonts w:hint="eastAsia" w:ascii="方正仿宋_GBK" w:hAnsi="方正仿宋_GBK" w:eastAsia="方正仿宋_GBK" w:cs="方正仿宋_GBK"/>
                <w:color w:val="auto"/>
                <w:kern w:val="0"/>
                <w:sz w:val="28"/>
                <w:szCs w:val="28"/>
              </w:rPr>
              <w:t xml:space="preserve"> 元</w:t>
            </w:r>
          </w:p>
        </w:tc>
      </w:tr>
      <w:tr w14:paraId="433FDE22">
        <w:tblPrEx>
          <w:tblCellMar>
            <w:top w:w="0" w:type="dxa"/>
            <w:left w:w="108" w:type="dxa"/>
            <w:bottom w:w="0" w:type="dxa"/>
            <w:right w:w="108" w:type="dxa"/>
          </w:tblCellMar>
        </w:tblPrEx>
        <w:trPr>
          <w:trHeight w:val="1138" w:hRule="atLeast"/>
        </w:trPr>
        <w:tc>
          <w:tcPr>
            <w:tcW w:w="1440" w:type="dxa"/>
            <w:tcBorders>
              <w:top w:val="nil"/>
              <w:left w:val="single" w:color="auto" w:sz="4" w:space="0"/>
              <w:bottom w:val="single" w:color="auto" w:sz="4" w:space="0"/>
              <w:right w:val="single" w:color="auto" w:sz="4" w:space="0"/>
            </w:tcBorders>
            <w:noWrap/>
            <w:vAlign w:val="center"/>
          </w:tcPr>
          <w:p w14:paraId="536AD18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情节较重</w:t>
            </w:r>
          </w:p>
        </w:tc>
        <w:tc>
          <w:tcPr>
            <w:tcW w:w="4720" w:type="dxa"/>
            <w:tcBorders>
              <w:top w:val="single" w:color="auto" w:sz="4" w:space="0"/>
              <w:left w:val="nil"/>
              <w:bottom w:val="single" w:color="auto" w:sz="4" w:space="0"/>
              <w:right w:val="single" w:color="000000" w:sz="4" w:space="0"/>
            </w:tcBorders>
            <w:noWrap w:val="0"/>
            <w:vAlign w:val="center"/>
          </w:tcPr>
          <w:p w14:paraId="39EF5F65">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新建、改建、扩建饮用水供水项目的选址、设计审查和竣工验收均未经卫生行政部门参加而擅自供水的</w:t>
            </w:r>
          </w:p>
        </w:tc>
        <w:tc>
          <w:tcPr>
            <w:tcW w:w="2620" w:type="dxa"/>
            <w:tcBorders>
              <w:top w:val="nil"/>
              <w:left w:val="nil"/>
              <w:bottom w:val="single" w:color="auto" w:sz="4" w:space="0"/>
              <w:right w:val="single" w:color="auto" w:sz="4" w:space="0"/>
            </w:tcBorders>
            <w:noWrap w:val="0"/>
            <w:vAlign w:val="center"/>
          </w:tcPr>
          <w:p w14:paraId="0749C9BD">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责令限期改进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kern w:val="0"/>
                <w:sz w:val="28"/>
                <w:szCs w:val="28"/>
              </w:rPr>
              <w:t>350</w:t>
            </w:r>
            <w:r>
              <w:rPr>
                <w:rFonts w:hint="eastAsia" w:ascii="方正仿宋_GBK" w:hAnsi="方正仿宋_GBK" w:eastAsia="方正仿宋_GBK" w:cs="方正仿宋_GBK"/>
                <w:color w:val="auto"/>
                <w:kern w:val="0"/>
                <w:sz w:val="28"/>
                <w:szCs w:val="28"/>
                <w:lang w:val="en-US" w:eastAsia="zh-CN"/>
              </w:rPr>
              <w:t>0</w:t>
            </w:r>
            <w:r>
              <w:rPr>
                <w:rFonts w:hint="eastAsia" w:ascii="方正仿宋_GBK" w:hAnsi="方正仿宋_GBK" w:eastAsia="方正仿宋_GBK" w:cs="方正仿宋_GBK"/>
                <w:color w:val="auto"/>
                <w:kern w:val="0"/>
                <w:sz w:val="28"/>
                <w:szCs w:val="28"/>
              </w:rPr>
              <w:t>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≤5000 元</w:t>
            </w:r>
          </w:p>
        </w:tc>
      </w:tr>
    </w:tbl>
    <w:p w14:paraId="1D5A610C">
      <w:pPr>
        <w:spacing w:line="560" w:lineRule="exact"/>
        <w:ind w:firstLine="640" w:firstLineChars="200"/>
        <w:rPr>
          <w:rFonts w:ascii="Times New Roman" w:hAnsi="Times New Roman" w:eastAsia="仿宋_GB2312" w:cs="Times New Roman"/>
          <w:color w:val="auto"/>
          <w:sz w:val="32"/>
          <w:szCs w:val="32"/>
        </w:rPr>
      </w:pPr>
    </w:p>
    <w:p w14:paraId="2143EB3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lang w:val="en-US" w:eastAsia="zh-CN"/>
        </w:rPr>
        <w:t>案由</w:t>
      </w:r>
      <w:r>
        <w:rPr>
          <w:rFonts w:hint="eastAsia" w:ascii="方正楷体_GBK" w:hAnsi="方正楷体_GBK" w:eastAsia="方正楷体_GBK" w:cs="方正楷体_GBK"/>
          <w:color w:val="auto"/>
          <w:sz w:val="32"/>
          <w:szCs w:val="32"/>
          <w:lang w:eastAsia="zh-CN"/>
        </w:rPr>
        <w:t>四</w:t>
      </w:r>
      <w:r>
        <w:rPr>
          <w:rFonts w:hint="eastAsia" w:ascii="方正楷体_GBK" w:hAnsi="方正楷体_GBK" w:eastAsia="方正楷体_GBK" w:cs="方正楷体_GBK"/>
          <w:color w:val="auto"/>
          <w:sz w:val="32"/>
          <w:szCs w:val="32"/>
        </w:rPr>
        <w:t>：生产或者销售无卫生许可批准文件的涉及饮用水卫生安全的产品的</w:t>
      </w:r>
    </w:p>
    <w:p w14:paraId="3E3F10D8">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b/>
          <w:color w:val="auto"/>
          <w:sz w:val="32"/>
          <w:szCs w:val="32"/>
        </w:rPr>
      </w:pPr>
      <w:r>
        <w:rPr>
          <w:rFonts w:hint="eastAsia" w:ascii="方正仿宋_GBK" w:hAnsi="方正仿宋_GBK" w:eastAsia="方正仿宋_GBK" w:cs="方正仿宋_GBK"/>
          <w:b/>
          <w:color w:val="auto"/>
          <w:sz w:val="32"/>
          <w:szCs w:val="32"/>
        </w:rPr>
        <w:t>一、处罚依据</w:t>
      </w:r>
    </w:p>
    <w:p w14:paraId="68D2B6A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《生活饮用水卫生监督管理办法》第二十七条　违反本办法规定，生产或者销售无卫生许可批准文件的涉及饮用水卫生安全的产品的，县级以上地方人民政府卫生计生主管部门应当责令改进，并可处以违法所得3倍以下的罚款，但最高不超过30000元，或处以500元以上10000元以下的罚款。</w:t>
      </w:r>
    </w:p>
    <w:p w14:paraId="3752686D">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color w:val="auto"/>
          <w:sz w:val="32"/>
          <w:szCs w:val="32"/>
        </w:rPr>
        <w:t>二、裁量权基准</w:t>
      </w:r>
    </w:p>
    <w:tbl>
      <w:tblPr>
        <w:tblStyle w:val="6"/>
        <w:tblW w:w="8926" w:type="dxa"/>
        <w:tblInd w:w="0" w:type="dxa"/>
        <w:tblLayout w:type="fixed"/>
        <w:tblCellMar>
          <w:top w:w="0" w:type="dxa"/>
          <w:left w:w="108" w:type="dxa"/>
          <w:bottom w:w="0" w:type="dxa"/>
          <w:right w:w="108" w:type="dxa"/>
        </w:tblCellMar>
      </w:tblPr>
      <w:tblGrid>
        <w:gridCol w:w="1412"/>
        <w:gridCol w:w="4750"/>
        <w:gridCol w:w="2764"/>
      </w:tblGrid>
      <w:tr w14:paraId="705C1174">
        <w:tblPrEx>
          <w:tblCellMar>
            <w:top w:w="0" w:type="dxa"/>
            <w:left w:w="108" w:type="dxa"/>
            <w:bottom w:w="0" w:type="dxa"/>
            <w:right w:w="108" w:type="dxa"/>
          </w:tblCellMar>
        </w:tblPrEx>
        <w:trPr>
          <w:trHeight w:val="525" w:hRule="atLeast"/>
        </w:trPr>
        <w:tc>
          <w:tcPr>
            <w:tcW w:w="1412" w:type="dxa"/>
            <w:tcBorders>
              <w:top w:val="single" w:color="auto" w:sz="4" w:space="0"/>
              <w:left w:val="single" w:color="auto" w:sz="4" w:space="0"/>
              <w:bottom w:val="nil"/>
              <w:right w:val="single" w:color="auto" w:sz="4" w:space="0"/>
            </w:tcBorders>
            <w:noWrap/>
            <w:vAlign w:val="center"/>
          </w:tcPr>
          <w:p w14:paraId="24A1B56C">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裁量阶次</w:t>
            </w:r>
          </w:p>
        </w:tc>
        <w:tc>
          <w:tcPr>
            <w:tcW w:w="4750" w:type="dxa"/>
            <w:tcBorders>
              <w:top w:val="single" w:color="auto" w:sz="4" w:space="0"/>
              <w:left w:val="nil"/>
              <w:bottom w:val="single" w:color="auto" w:sz="4" w:space="0"/>
              <w:right w:val="single" w:color="000000" w:sz="4" w:space="0"/>
            </w:tcBorders>
            <w:noWrap/>
            <w:vAlign w:val="center"/>
          </w:tcPr>
          <w:p w14:paraId="4D40865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适用条件</w:t>
            </w:r>
          </w:p>
        </w:tc>
        <w:tc>
          <w:tcPr>
            <w:tcW w:w="2764" w:type="dxa"/>
            <w:tcBorders>
              <w:top w:val="single" w:color="auto" w:sz="4" w:space="0"/>
              <w:left w:val="nil"/>
              <w:bottom w:val="nil"/>
              <w:right w:val="single" w:color="auto" w:sz="4" w:space="0"/>
            </w:tcBorders>
            <w:noWrap w:val="0"/>
            <w:vAlign w:val="center"/>
          </w:tcPr>
          <w:p w14:paraId="32C06FD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楷体_GBK" w:hAnsi="方正楷体_GBK" w:eastAsia="方正楷体_GBK" w:cs="方正楷体_GBK"/>
                <w:color w:val="auto"/>
                <w:kern w:val="0"/>
                <w:sz w:val="28"/>
                <w:szCs w:val="28"/>
              </w:rPr>
            </w:pPr>
            <w:r>
              <w:rPr>
                <w:rFonts w:hint="eastAsia" w:ascii="方正楷体_GBK" w:hAnsi="方正楷体_GBK" w:eastAsia="方正楷体_GBK" w:cs="方正楷体_GBK"/>
                <w:color w:val="auto"/>
                <w:kern w:val="0"/>
                <w:sz w:val="28"/>
                <w:szCs w:val="28"/>
              </w:rPr>
              <w:t>具体标准</w:t>
            </w:r>
          </w:p>
        </w:tc>
      </w:tr>
      <w:tr w14:paraId="45047975">
        <w:tblPrEx>
          <w:tblCellMar>
            <w:top w:w="0" w:type="dxa"/>
            <w:left w:w="108" w:type="dxa"/>
            <w:bottom w:w="0" w:type="dxa"/>
            <w:right w:w="108" w:type="dxa"/>
          </w:tblCellMar>
        </w:tblPrEx>
        <w:trPr>
          <w:trHeight w:val="799" w:hRule="atLeast"/>
        </w:trPr>
        <w:tc>
          <w:tcPr>
            <w:tcW w:w="1412" w:type="dxa"/>
            <w:tcBorders>
              <w:top w:val="single" w:color="auto" w:sz="4" w:space="0"/>
              <w:left w:val="single" w:color="auto" w:sz="4" w:space="0"/>
              <w:bottom w:val="single" w:color="auto" w:sz="4" w:space="0"/>
              <w:right w:val="single" w:color="auto" w:sz="4" w:space="0"/>
            </w:tcBorders>
            <w:noWrap w:val="0"/>
            <w:vAlign w:val="center"/>
          </w:tcPr>
          <w:p w14:paraId="56E03FF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lang w:eastAsia="zh-CN"/>
              </w:rPr>
              <w:t>情节较轻</w:t>
            </w:r>
          </w:p>
        </w:tc>
        <w:tc>
          <w:tcPr>
            <w:tcW w:w="4750" w:type="dxa"/>
            <w:tcBorders>
              <w:top w:val="nil"/>
              <w:left w:val="single" w:color="auto" w:sz="4" w:space="0"/>
              <w:bottom w:val="single" w:color="auto" w:sz="4" w:space="0"/>
              <w:right w:val="single" w:color="auto" w:sz="4" w:space="0"/>
            </w:tcBorders>
            <w:noWrap w:val="0"/>
            <w:vAlign w:val="center"/>
          </w:tcPr>
          <w:p w14:paraId="6A5063EB">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生产或者销售无卫生许可批准文件的涉及饮用水卫生安全产品的</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无违法所得</w:t>
            </w:r>
          </w:p>
        </w:tc>
        <w:tc>
          <w:tcPr>
            <w:tcW w:w="2764" w:type="dxa"/>
            <w:tcBorders>
              <w:top w:val="single" w:color="auto" w:sz="4" w:space="0"/>
              <w:left w:val="nil"/>
              <w:bottom w:val="single" w:color="auto" w:sz="4" w:space="0"/>
              <w:right w:val="single" w:color="auto" w:sz="4" w:space="0"/>
            </w:tcBorders>
            <w:noWrap w:val="0"/>
            <w:vAlign w:val="center"/>
          </w:tcPr>
          <w:p w14:paraId="6DC0056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w:t>
            </w:r>
            <w:r>
              <w:rPr>
                <w:rFonts w:hint="eastAsia" w:ascii="方正仿宋_GBK" w:hAnsi="方正仿宋_GBK" w:eastAsia="方正仿宋_GBK" w:cs="方正仿宋_GBK"/>
                <w:color w:val="auto"/>
                <w:kern w:val="0"/>
                <w:sz w:val="28"/>
                <w:szCs w:val="28"/>
              </w:rPr>
              <w:t>500元≤</w:t>
            </w:r>
            <w:r>
              <w:rPr>
                <w:rFonts w:hint="eastAsia" w:ascii="方正仿宋_GBK" w:hAnsi="方正仿宋_GBK" w:eastAsia="方正仿宋_GBK" w:cs="方正仿宋_GBK"/>
                <w:color w:val="auto"/>
                <w:kern w:val="0"/>
                <w:sz w:val="28"/>
                <w:szCs w:val="28"/>
                <w:lang w:val="en-US" w:eastAsia="zh-CN"/>
              </w:rPr>
              <w:t>罚款</w:t>
            </w:r>
            <w:r>
              <w:rPr>
                <w:rFonts w:hint="eastAsia" w:ascii="方正仿宋_GBK" w:hAnsi="方正仿宋_GBK" w:eastAsia="方正仿宋_GBK" w:cs="方正仿宋_GBK"/>
                <w:color w:val="auto"/>
                <w:kern w:val="0"/>
                <w:sz w:val="28"/>
                <w:szCs w:val="28"/>
              </w:rPr>
              <w:t xml:space="preserve"> ＜</w:t>
            </w:r>
            <w:r>
              <w:rPr>
                <w:rFonts w:hint="eastAsia" w:ascii="方正仿宋_GBK" w:hAnsi="方正仿宋_GBK" w:eastAsia="方正仿宋_GBK" w:cs="方正仿宋_GBK"/>
                <w:color w:val="auto"/>
                <w:kern w:val="0"/>
                <w:sz w:val="28"/>
                <w:szCs w:val="28"/>
                <w:lang w:val="en-US" w:eastAsia="zh-CN"/>
              </w:rPr>
              <w:t>3000</w:t>
            </w:r>
            <w:r>
              <w:rPr>
                <w:rFonts w:hint="eastAsia" w:ascii="方正仿宋_GBK" w:hAnsi="方正仿宋_GBK" w:eastAsia="方正仿宋_GBK" w:cs="方正仿宋_GBK"/>
                <w:color w:val="auto"/>
                <w:kern w:val="0"/>
                <w:sz w:val="28"/>
                <w:szCs w:val="28"/>
              </w:rPr>
              <w:t>元</w:t>
            </w:r>
          </w:p>
        </w:tc>
      </w:tr>
      <w:tr w14:paraId="7886BA9F">
        <w:tblPrEx>
          <w:tblCellMar>
            <w:top w:w="0" w:type="dxa"/>
            <w:left w:w="108" w:type="dxa"/>
            <w:bottom w:w="0" w:type="dxa"/>
            <w:right w:w="108" w:type="dxa"/>
          </w:tblCellMar>
        </w:tblPrEx>
        <w:trPr>
          <w:trHeight w:val="799" w:hRule="atLeast"/>
        </w:trPr>
        <w:tc>
          <w:tcPr>
            <w:tcW w:w="1412" w:type="dxa"/>
            <w:tcBorders>
              <w:top w:val="nil"/>
              <w:left w:val="single" w:color="auto" w:sz="4" w:space="0"/>
              <w:bottom w:val="single" w:color="auto" w:sz="4" w:space="0"/>
              <w:right w:val="single" w:color="auto" w:sz="4" w:space="0"/>
            </w:tcBorders>
            <w:noWrap w:val="0"/>
            <w:vAlign w:val="center"/>
          </w:tcPr>
          <w:p w14:paraId="1F4CB5B0">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kern w:val="0"/>
                <w:sz w:val="28"/>
                <w:szCs w:val="28"/>
                <w:lang w:eastAsia="zh-CN"/>
              </w:rPr>
              <w:t>情节</w:t>
            </w:r>
            <w:r>
              <w:rPr>
                <w:rFonts w:hint="eastAsia" w:ascii="方正仿宋_GBK" w:hAnsi="方正仿宋_GBK" w:eastAsia="方正仿宋_GBK" w:cs="方正仿宋_GBK"/>
                <w:color w:val="auto"/>
                <w:kern w:val="0"/>
                <w:sz w:val="28"/>
                <w:szCs w:val="28"/>
              </w:rPr>
              <w:t>一般</w:t>
            </w:r>
          </w:p>
        </w:tc>
        <w:tc>
          <w:tcPr>
            <w:tcW w:w="4750" w:type="dxa"/>
            <w:tcBorders>
              <w:top w:val="nil"/>
              <w:left w:val="single" w:color="auto" w:sz="4" w:space="0"/>
              <w:bottom w:val="single" w:color="auto" w:sz="4" w:space="0"/>
              <w:right w:val="single" w:color="auto" w:sz="4" w:space="0"/>
            </w:tcBorders>
            <w:noWrap w:val="0"/>
            <w:vAlign w:val="center"/>
          </w:tcPr>
          <w:p w14:paraId="10335A03">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生产或者销售无卫生许可批准文件的涉及饮用水卫生安全产品的</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违法所得在5000元以内的</w:t>
            </w:r>
          </w:p>
        </w:tc>
        <w:tc>
          <w:tcPr>
            <w:tcW w:w="2764" w:type="dxa"/>
            <w:tcBorders>
              <w:top w:val="nil"/>
              <w:left w:val="nil"/>
              <w:bottom w:val="single" w:color="auto" w:sz="4" w:space="0"/>
              <w:right w:val="single" w:color="auto" w:sz="4" w:space="0"/>
            </w:tcBorders>
            <w:noWrap w:val="0"/>
            <w:vAlign w:val="center"/>
          </w:tcPr>
          <w:p w14:paraId="01BB721F">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lang w:val="en-US" w:eastAsia="zh-CN"/>
              </w:rPr>
              <w:t>并处罚款</w:t>
            </w:r>
            <w:r>
              <w:rPr>
                <w:rFonts w:hint="eastAsia" w:ascii="方正仿宋_GBK" w:hAnsi="方正仿宋_GBK" w:eastAsia="方正仿宋_GBK" w:cs="方正仿宋_GBK"/>
                <w:color w:val="auto"/>
                <w:kern w:val="0"/>
                <w:sz w:val="28"/>
                <w:szCs w:val="28"/>
              </w:rPr>
              <w:t>：</w:t>
            </w:r>
            <w:r>
              <w:rPr>
                <w:rFonts w:hint="eastAsia" w:ascii="方正仿宋_GBK" w:hAnsi="方正仿宋_GBK" w:eastAsia="方正仿宋_GBK" w:cs="方正仿宋_GBK"/>
                <w:color w:val="auto"/>
                <w:kern w:val="0"/>
                <w:sz w:val="28"/>
                <w:szCs w:val="28"/>
                <w:lang w:val="en-US" w:eastAsia="zh-CN"/>
              </w:rPr>
              <w:t>3000</w:t>
            </w:r>
            <w:r>
              <w:rPr>
                <w:rFonts w:hint="eastAsia" w:ascii="方正仿宋_GBK" w:hAnsi="方正仿宋_GBK" w:eastAsia="方正仿宋_GBK" w:cs="方正仿宋_GBK"/>
                <w:color w:val="auto"/>
                <w:kern w:val="0"/>
                <w:sz w:val="28"/>
                <w:szCs w:val="28"/>
              </w:rPr>
              <w:t>元≤金额＜违法所得0.9倍</w:t>
            </w:r>
          </w:p>
        </w:tc>
      </w:tr>
      <w:tr w14:paraId="0F60C136">
        <w:tblPrEx>
          <w:tblCellMar>
            <w:top w:w="0" w:type="dxa"/>
            <w:left w:w="108" w:type="dxa"/>
            <w:bottom w:w="0" w:type="dxa"/>
            <w:right w:w="108" w:type="dxa"/>
          </w:tblCellMar>
        </w:tblPrEx>
        <w:trPr>
          <w:trHeight w:val="799" w:hRule="atLeast"/>
        </w:trPr>
        <w:tc>
          <w:tcPr>
            <w:tcW w:w="1412" w:type="dxa"/>
            <w:tcBorders>
              <w:top w:val="nil"/>
              <w:left w:val="single" w:color="auto" w:sz="4" w:space="0"/>
              <w:bottom w:val="single" w:color="auto" w:sz="4" w:space="0"/>
              <w:right w:val="single" w:color="auto" w:sz="4" w:space="0"/>
            </w:tcBorders>
            <w:noWrap w:val="0"/>
            <w:vAlign w:val="center"/>
          </w:tcPr>
          <w:p w14:paraId="0F1BB285">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方正仿宋_GBK" w:hAnsi="方正仿宋_GBK" w:eastAsia="方正仿宋_GBK" w:cs="方正仿宋_GBK"/>
                <w:color w:val="auto"/>
                <w:kern w:val="0"/>
                <w:sz w:val="28"/>
                <w:szCs w:val="28"/>
                <w:lang w:val="en-US"/>
              </w:rPr>
            </w:pPr>
            <w:r>
              <w:rPr>
                <w:rFonts w:hint="eastAsia" w:ascii="方正仿宋_GBK" w:hAnsi="方正仿宋_GBK" w:eastAsia="方正仿宋_GBK" w:cs="方正仿宋_GBK"/>
                <w:color w:val="auto"/>
                <w:kern w:val="0"/>
                <w:sz w:val="28"/>
                <w:szCs w:val="28"/>
                <w:lang w:eastAsia="zh-CN"/>
              </w:rPr>
              <w:t>情节</w:t>
            </w:r>
            <w:r>
              <w:rPr>
                <w:rFonts w:hint="eastAsia" w:ascii="方正仿宋_GBK" w:hAnsi="方正仿宋_GBK" w:eastAsia="方正仿宋_GBK" w:cs="方正仿宋_GBK"/>
                <w:color w:val="auto"/>
                <w:kern w:val="0"/>
                <w:sz w:val="28"/>
                <w:szCs w:val="28"/>
                <w:lang w:val="en-US" w:eastAsia="zh-CN"/>
              </w:rPr>
              <w:t>较重</w:t>
            </w:r>
          </w:p>
        </w:tc>
        <w:tc>
          <w:tcPr>
            <w:tcW w:w="4750" w:type="dxa"/>
            <w:tcBorders>
              <w:top w:val="nil"/>
              <w:left w:val="single" w:color="auto" w:sz="4" w:space="0"/>
              <w:bottom w:val="single" w:color="auto" w:sz="4" w:space="0"/>
              <w:right w:val="single" w:color="auto" w:sz="4" w:space="0"/>
            </w:tcBorders>
            <w:noWrap w:val="0"/>
            <w:vAlign w:val="center"/>
          </w:tcPr>
          <w:p w14:paraId="14443025">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生产或者销售无卫生许可批准文件的涉及饮用水卫生安全产品的</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违法所得超过5000元且在10000元以内的</w:t>
            </w:r>
          </w:p>
        </w:tc>
        <w:tc>
          <w:tcPr>
            <w:tcW w:w="2764" w:type="dxa"/>
            <w:tcBorders>
              <w:top w:val="nil"/>
              <w:left w:val="nil"/>
              <w:bottom w:val="single" w:color="auto" w:sz="4" w:space="0"/>
              <w:right w:val="single" w:color="auto" w:sz="4" w:space="0"/>
            </w:tcBorders>
            <w:noWrap w:val="0"/>
            <w:vAlign w:val="center"/>
          </w:tcPr>
          <w:p w14:paraId="5C3D4D1E">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sz w:val="28"/>
                <w:szCs w:val="28"/>
              </w:rPr>
              <w:t>责令改进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kern w:val="0"/>
                <w:sz w:val="28"/>
                <w:szCs w:val="28"/>
              </w:rPr>
              <w:t>并处罚款：违法所得0.9倍≤金额＜违法所得2.1倍</w:t>
            </w:r>
          </w:p>
        </w:tc>
      </w:tr>
      <w:tr w14:paraId="79F53BA3">
        <w:tblPrEx>
          <w:tblCellMar>
            <w:top w:w="0" w:type="dxa"/>
            <w:left w:w="108" w:type="dxa"/>
            <w:bottom w:w="0" w:type="dxa"/>
            <w:right w:w="108" w:type="dxa"/>
          </w:tblCellMar>
        </w:tblPrEx>
        <w:trPr>
          <w:trHeight w:val="799" w:hRule="atLeast"/>
        </w:trPr>
        <w:tc>
          <w:tcPr>
            <w:tcW w:w="1412" w:type="dxa"/>
            <w:tcBorders>
              <w:top w:val="nil"/>
              <w:left w:val="single" w:color="auto" w:sz="4" w:space="0"/>
              <w:bottom w:val="single" w:color="auto" w:sz="4" w:space="0"/>
              <w:right w:val="single" w:color="auto" w:sz="4" w:space="0"/>
            </w:tcBorders>
            <w:noWrap w:val="0"/>
            <w:vAlign w:val="center"/>
          </w:tcPr>
          <w:p w14:paraId="0F8CD59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lang w:eastAsia="zh-CN"/>
              </w:rPr>
              <w:t>情节</w:t>
            </w:r>
            <w:r>
              <w:rPr>
                <w:rFonts w:hint="eastAsia" w:ascii="方正仿宋_GBK" w:hAnsi="方正仿宋_GBK" w:eastAsia="方正仿宋_GBK" w:cs="方正仿宋_GBK"/>
                <w:color w:val="auto"/>
                <w:kern w:val="0"/>
                <w:sz w:val="28"/>
                <w:szCs w:val="28"/>
                <w:lang w:val="en-US" w:eastAsia="zh-CN"/>
              </w:rPr>
              <w:t>严重</w:t>
            </w:r>
          </w:p>
        </w:tc>
        <w:tc>
          <w:tcPr>
            <w:tcW w:w="4750" w:type="dxa"/>
            <w:tcBorders>
              <w:top w:val="nil"/>
              <w:left w:val="single" w:color="auto" w:sz="4" w:space="0"/>
              <w:bottom w:val="single" w:color="auto" w:sz="4" w:space="0"/>
              <w:right w:val="single" w:color="auto" w:sz="4" w:space="0"/>
            </w:tcBorders>
            <w:noWrap w:val="0"/>
            <w:vAlign w:val="center"/>
          </w:tcPr>
          <w:p w14:paraId="4C5C3B1D">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rPr>
            </w:pPr>
            <w:r>
              <w:rPr>
                <w:rFonts w:hint="eastAsia" w:ascii="方正仿宋_GBK" w:hAnsi="方正仿宋_GBK" w:eastAsia="方正仿宋_GBK" w:cs="方正仿宋_GBK"/>
                <w:color w:val="auto"/>
                <w:kern w:val="0"/>
                <w:sz w:val="28"/>
                <w:szCs w:val="28"/>
              </w:rPr>
              <w:t>生产或者销售无卫生许可批准文件的涉及饮用水卫生安全产品的</w:t>
            </w:r>
            <w:r>
              <w:rPr>
                <w:rFonts w:hint="eastAsia" w:ascii="方正仿宋_GBK" w:hAnsi="方正仿宋_GBK" w:eastAsia="方正仿宋_GBK" w:cs="方正仿宋_GBK"/>
                <w:color w:val="auto"/>
                <w:kern w:val="0"/>
                <w:sz w:val="28"/>
                <w:szCs w:val="28"/>
                <w:lang w:eastAsia="zh-CN"/>
              </w:rPr>
              <w:t>，</w:t>
            </w:r>
            <w:r>
              <w:rPr>
                <w:rFonts w:hint="eastAsia" w:ascii="方正仿宋_GBK" w:hAnsi="方正仿宋_GBK" w:eastAsia="方正仿宋_GBK" w:cs="方正仿宋_GBK"/>
                <w:color w:val="auto"/>
                <w:kern w:val="0"/>
                <w:sz w:val="28"/>
                <w:szCs w:val="28"/>
              </w:rPr>
              <w:t>违法所得超过10000元的</w:t>
            </w:r>
          </w:p>
        </w:tc>
        <w:tc>
          <w:tcPr>
            <w:tcW w:w="2764" w:type="dxa"/>
            <w:tcBorders>
              <w:top w:val="nil"/>
              <w:left w:val="nil"/>
              <w:bottom w:val="single" w:color="auto" w:sz="4" w:space="0"/>
              <w:right w:val="single" w:color="auto" w:sz="4" w:space="0"/>
            </w:tcBorders>
            <w:noWrap w:val="0"/>
            <w:vAlign w:val="center"/>
          </w:tcPr>
          <w:p w14:paraId="56168C7A">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方正仿宋_GBK" w:hAnsi="方正仿宋_GBK" w:eastAsia="方正仿宋_GBK" w:cs="方正仿宋_GBK"/>
                <w:color w:val="auto"/>
                <w:kern w:val="0"/>
                <w:sz w:val="28"/>
                <w:szCs w:val="28"/>
                <w:lang w:eastAsia="zh-CN"/>
              </w:rPr>
            </w:pPr>
            <w:r>
              <w:rPr>
                <w:rFonts w:hint="eastAsia" w:ascii="方正仿宋_GBK" w:hAnsi="方正仿宋_GBK" w:eastAsia="方正仿宋_GBK" w:cs="方正仿宋_GBK"/>
                <w:color w:val="auto"/>
                <w:sz w:val="28"/>
                <w:szCs w:val="28"/>
              </w:rPr>
              <w:t>责令改进</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kern w:val="0"/>
                <w:sz w:val="28"/>
                <w:szCs w:val="28"/>
              </w:rPr>
              <w:t>并处罚款：违法所得2.1倍≤金额≤违法所得3倍</w:t>
            </w:r>
            <w:r>
              <w:rPr>
                <w:rFonts w:hint="eastAsia" w:ascii="方正仿宋_GBK" w:hAnsi="方正仿宋_GBK" w:eastAsia="方正仿宋_GBK" w:cs="方正仿宋_GBK"/>
                <w:color w:val="auto"/>
                <w:kern w:val="0"/>
                <w:sz w:val="28"/>
                <w:szCs w:val="28"/>
                <w:lang w:eastAsia="zh-CN"/>
              </w:rPr>
              <w:t>，但最高不超过30000元</w:t>
            </w:r>
          </w:p>
        </w:tc>
      </w:tr>
    </w:tbl>
    <w:p w14:paraId="19662E8F">
      <w:pPr>
        <w:spacing w:line="560" w:lineRule="exact"/>
        <w:rPr>
          <w:rFonts w:ascii="Times New Roman" w:hAnsi="Times New Roman" w:eastAsia="方正楷体_GB2312" w:cs="方正楷体_GB2312"/>
          <w:sz w:val="32"/>
          <w:szCs w:val="32"/>
        </w:rPr>
      </w:pPr>
    </w:p>
    <w:p w14:paraId="07A5DC46">
      <w:pPr>
        <w:spacing w:line="560" w:lineRule="exact"/>
        <w:rPr>
          <w:rFonts w:ascii="Times New Roman" w:hAnsi="Times New Roman" w:eastAsia="方正楷体_GB2312" w:cs="方正楷体_GB2312"/>
          <w:sz w:val="32"/>
          <w:szCs w:val="32"/>
        </w:rPr>
      </w:pPr>
    </w:p>
    <w:p w14:paraId="6120C482">
      <w:pPr>
        <w:spacing w:line="560" w:lineRule="exact"/>
        <w:rPr>
          <w:rFonts w:ascii="Times New Roman" w:hAnsi="Times New Roman" w:eastAsia="方正楷体_GB2312" w:cs="方正楷体_GB2312"/>
          <w:sz w:val="32"/>
          <w:szCs w:val="32"/>
        </w:rPr>
      </w:pPr>
    </w:p>
    <w:p w14:paraId="1CF6A1C7">
      <w:pPr>
        <w:spacing w:line="560" w:lineRule="exact"/>
        <w:rPr>
          <w:rFonts w:ascii="Times New Roman" w:hAnsi="Times New Roman" w:eastAsia="方正楷体_GB2312" w:cs="方正楷体_GB2312"/>
          <w:sz w:val="32"/>
          <w:szCs w:val="32"/>
        </w:rPr>
      </w:pPr>
    </w:p>
    <w:p w14:paraId="250D246D">
      <w:pPr>
        <w:spacing w:line="560" w:lineRule="exact"/>
        <w:rPr>
          <w:rFonts w:ascii="Times New Roman" w:hAnsi="Times New Roman" w:eastAsia="方正楷体_GB2312" w:cs="方正楷体_GB2312"/>
          <w:sz w:val="32"/>
          <w:szCs w:val="32"/>
        </w:rPr>
      </w:pPr>
    </w:p>
    <w:p w14:paraId="067A040C">
      <w:pPr>
        <w:spacing w:line="560" w:lineRule="exact"/>
        <w:rPr>
          <w:rFonts w:ascii="Times New Roman" w:hAnsi="Times New Roman" w:eastAsia="方正楷体_GB2312" w:cs="方正楷体_GB2312"/>
          <w:sz w:val="32"/>
          <w:szCs w:val="32"/>
        </w:rPr>
      </w:pPr>
    </w:p>
    <w:p w14:paraId="7A3CA2CA">
      <w:pPr>
        <w:spacing w:line="560" w:lineRule="exact"/>
        <w:rPr>
          <w:rFonts w:ascii="Times New Roman" w:hAnsi="Times New Roman" w:eastAsia="方正楷体_GB2312" w:cs="方正楷体_GB2312"/>
          <w:sz w:val="32"/>
          <w:szCs w:val="32"/>
        </w:rPr>
      </w:pPr>
    </w:p>
    <w:p w14:paraId="64221418">
      <w:pPr>
        <w:spacing w:line="560" w:lineRule="exact"/>
        <w:rPr>
          <w:rFonts w:ascii="Times New Roman" w:hAnsi="Times New Roman" w:eastAsia="方正楷体_GB2312" w:cs="方正楷体_GB2312"/>
          <w:sz w:val="32"/>
          <w:szCs w:val="32"/>
        </w:rPr>
      </w:pPr>
    </w:p>
    <w:p w14:paraId="204A1BDB">
      <w:pPr>
        <w:spacing w:line="560" w:lineRule="exact"/>
        <w:rPr>
          <w:rFonts w:ascii="Times New Roman" w:hAnsi="Times New Roman" w:eastAsia="方正楷体_GB2312" w:cs="方正楷体_GB2312"/>
          <w:sz w:val="32"/>
          <w:szCs w:val="32"/>
        </w:rPr>
      </w:pPr>
    </w:p>
    <w:p w14:paraId="0CF409D6">
      <w:pPr>
        <w:spacing w:line="560" w:lineRule="exact"/>
        <w:rPr>
          <w:rFonts w:ascii="Times New Roman" w:hAnsi="Times New Roman" w:eastAsia="方正楷体_GB2312" w:cs="方正楷体_GB2312"/>
          <w:sz w:val="32"/>
          <w:szCs w:val="32"/>
        </w:rPr>
      </w:pPr>
    </w:p>
    <w:p w14:paraId="40B98C61">
      <w:pPr>
        <w:spacing w:line="560" w:lineRule="exact"/>
        <w:rPr>
          <w:rFonts w:ascii="Times New Roman" w:hAnsi="Times New Roman" w:eastAsia="方正楷体_GB2312" w:cs="方正楷体_GB2312"/>
          <w:sz w:val="32"/>
          <w:szCs w:val="32"/>
        </w:rPr>
      </w:pPr>
    </w:p>
    <w:p w14:paraId="348B96B9">
      <w:pPr>
        <w:spacing w:line="560" w:lineRule="exact"/>
        <w:rPr>
          <w:rFonts w:ascii="Times New Roman" w:hAnsi="Times New Roman" w:eastAsia="方正楷体_GB2312" w:cs="方正楷体_GB2312"/>
          <w:sz w:val="32"/>
          <w:szCs w:val="32"/>
        </w:rPr>
      </w:pPr>
    </w:p>
    <w:p w14:paraId="7AD2B7EB">
      <w:pPr>
        <w:spacing w:line="560" w:lineRule="exact"/>
        <w:rPr>
          <w:rFonts w:ascii="Times New Roman" w:hAnsi="Times New Roman" w:eastAsia="方正楷体_GB2312" w:cs="方正楷体_GB2312"/>
          <w:sz w:val="32"/>
          <w:szCs w:val="32"/>
        </w:rPr>
      </w:pPr>
    </w:p>
    <w:p w14:paraId="5AFDB545">
      <w:pPr>
        <w:spacing w:line="560" w:lineRule="exact"/>
        <w:rPr>
          <w:rFonts w:ascii="Times New Roman" w:hAnsi="Times New Roman" w:eastAsia="方正楷体_GB2312" w:cs="方正楷体_GB2312"/>
          <w:sz w:val="32"/>
          <w:szCs w:val="32"/>
        </w:rPr>
      </w:pPr>
    </w:p>
    <w:p w14:paraId="6C9ED3D9">
      <w:pPr>
        <w:spacing w:line="560" w:lineRule="exact"/>
        <w:rPr>
          <w:rFonts w:ascii="Times New Roman" w:hAnsi="Times New Roman" w:eastAsia="方正楷体_GB2312" w:cs="方正楷体_GB2312"/>
          <w:sz w:val="32"/>
          <w:szCs w:val="32"/>
        </w:rPr>
      </w:pPr>
    </w:p>
    <w:p w14:paraId="37023AB8">
      <w:pPr>
        <w:spacing w:line="560" w:lineRule="exact"/>
        <w:rPr>
          <w:rFonts w:ascii="Times New Roman" w:hAnsi="Times New Roman" w:eastAsia="方正楷体_GB2312" w:cs="方正楷体_GB2312"/>
          <w:sz w:val="32"/>
          <w:szCs w:val="32"/>
        </w:rPr>
      </w:pPr>
      <w:bookmarkStart w:id="12" w:name="_GoBack"/>
      <w:bookmarkEnd w:id="12"/>
    </w:p>
    <w:p w14:paraId="00200935">
      <w:pPr>
        <w:spacing w:line="56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第四部分 爱国卫生行政处罚裁量权基准</w:t>
      </w:r>
    </w:p>
    <w:p w14:paraId="27538547">
      <w:pPr>
        <w:spacing w:line="560" w:lineRule="exact"/>
        <w:rPr>
          <w:rFonts w:ascii="Times New Roman" w:hAnsi="Times New Roman" w:eastAsia="方正楷体_GB2312" w:cs="方正楷体_GB2312"/>
          <w:sz w:val="32"/>
          <w:szCs w:val="32"/>
        </w:rPr>
      </w:pPr>
    </w:p>
    <w:p w14:paraId="63366A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黑体_GBK" w:hAnsi="方正黑体_GBK" w:eastAsia="方正黑体_GBK" w:cs="方正黑体_GBK"/>
          <w:spacing w:val="15"/>
          <w:sz w:val="32"/>
          <w:szCs w:val="32"/>
          <w:lang w:val="en-US" w:eastAsia="zh-CN"/>
          <w14:ligatures w14:val="standardContextual"/>
        </w:rPr>
      </w:pPr>
      <w:r>
        <w:rPr>
          <w:rFonts w:hint="eastAsia" w:ascii="方正黑体_GBK" w:hAnsi="方正黑体_GBK" w:eastAsia="方正黑体_GBK" w:cs="方正黑体_GBK"/>
          <w:spacing w:val="15"/>
          <w:sz w:val="32"/>
          <w:szCs w:val="32"/>
          <w:lang w:val="en-US" w:eastAsia="zh-CN"/>
          <w14:ligatures w14:val="standardContextual"/>
        </w:rPr>
        <w:t>一、《江苏省爱国卫生条例》</w:t>
      </w:r>
    </w:p>
    <w:p w14:paraId="70DAFCE0">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方正楷体_GBK" w:hAnsi="方正楷体_GBK" w:eastAsia="方正楷体_GBK" w:cs="方正楷体_GBK"/>
          <w:spacing w:val="15"/>
          <w:sz w:val="32"/>
          <w:szCs w:val="32"/>
          <w:lang w:val="en-US" w:eastAsia="zh-CN"/>
          <w14:ligatures w14:val="standardContextual"/>
        </w:rPr>
      </w:pPr>
      <w:r>
        <w:rPr>
          <w:rFonts w:hint="eastAsia" w:ascii="方正楷体_GBK" w:hAnsi="方正楷体_GBK" w:eastAsia="方正楷体_GBK" w:cs="方正楷体_GBK"/>
          <w:spacing w:val="15"/>
          <w:sz w:val="32"/>
          <w:szCs w:val="32"/>
          <w:lang w:val="en-US" w:eastAsia="zh-CN"/>
          <w14:ligatures w14:val="standardContextual"/>
        </w:rPr>
        <w:t>案由一：国家机关、企业事业单位和其他组织未建立卫生管理制度、确定责任人，或者未配备卫生设施，环境卫生未达标的</w:t>
      </w:r>
    </w:p>
    <w:p w14:paraId="26CB44A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274B4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《江苏省爱国卫生条例》第五十四条  违反本条例第十一条规定，国家机关、企业事业单位和其他组织未建立卫生管理制度、确定责任人，或者未配备卫生设施，环境卫生未达标的，由卫生行政部门责令限期改正；逾期不改正的，给予警告，并可以处以一千元以上一万元以下罚款。</w:t>
      </w:r>
    </w:p>
    <w:p w14:paraId="144D7EA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734"/>
        <w:gridCol w:w="2530"/>
      </w:tblGrid>
      <w:tr w14:paraId="5BC56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183F8B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734" w:type="dxa"/>
          </w:tcPr>
          <w:p w14:paraId="5CA930A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530" w:type="dxa"/>
          </w:tcPr>
          <w:p w14:paraId="1B12CD4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14805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20C028C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734" w:type="dxa"/>
            <w:vAlign w:val="center"/>
          </w:tcPr>
          <w:p w14:paraId="1A1BDAF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国家机关、企业事业单位和其他组织具有①未建立卫生管理制度、确定责任人，②未配备卫生设施，③环境卫生未达标，</w:t>
            </w:r>
            <w:r>
              <w:rPr>
                <w:rFonts w:hint="eastAsia" w:ascii="方正仿宋_GBK" w:hAnsi="方正仿宋_GBK" w:eastAsia="方正仿宋_GBK" w:cs="方正仿宋_GBK"/>
                <w:sz w:val="28"/>
                <w:szCs w:val="28"/>
                <w14:ligatures w14:val="standardContextual"/>
              </w:rPr>
              <w:t>涉及1项的，经责令限期改正，逾期不改正的</w:t>
            </w:r>
          </w:p>
        </w:tc>
        <w:tc>
          <w:tcPr>
            <w:tcW w:w="2530" w:type="dxa"/>
            <w:vAlign w:val="center"/>
          </w:tcPr>
          <w:p w14:paraId="645F955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警告，1000元≤罚款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6FD5C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126A273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734" w:type="dxa"/>
            <w:vAlign w:val="center"/>
          </w:tcPr>
          <w:p w14:paraId="1D0CC624">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国家机关、企业事业单位和其他组织具有①未建立卫生管理制度、确定责任人，②未配备卫生设施，③环境卫生未达标，</w:t>
            </w:r>
            <w:r>
              <w:rPr>
                <w:rFonts w:hint="eastAsia" w:ascii="方正仿宋_GBK" w:hAnsi="方正仿宋_GBK" w:eastAsia="方正仿宋_GBK" w:cs="方正仿宋_GBK"/>
                <w:sz w:val="28"/>
                <w:szCs w:val="28"/>
                <w14:ligatures w14:val="standardContextual"/>
              </w:rPr>
              <w:t>涉及</w:t>
            </w: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项的，经责令限期改正，逾期不改正的</w:t>
            </w:r>
          </w:p>
        </w:tc>
        <w:tc>
          <w:tcPr>
            <w:tcW w:w="2530" w:type="dxa"/>
            <w:vAlign w:val="center"/>
          </w:tcPr>
          <w:p w14:paraId="46F3E15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eastAsia="zh-CN"/>
                <w14:ligatures w14:val="standardContextual"/>
              </w:rPr>
              <w: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5F971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53288C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734" w:type="dxa"/>
            <w:vAlign w:val="center"/>
          </w:tcPr>
          <w:p w14:paraId="3FE2C3D0">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国家机关、企业事业单位和其他组织具有①未建立卫生管理制度、确定责任人②未配备卫生设施，③环境卫生未达标，</w:t>
            </w:r>
            <w:r>
              <w:rPr>
                <w:rFonts w:hint="eastAsia" w:ascii="方正仿宋_GBK" w:hAnsi="方正仿宋_GBK" w:eastAsia="方正仿宋_GBK" w:cs="方正仿宋_GBK"/>
                <w:sz w:val="28"/>
                <w:szCs w:val="28"/>
                <w14:ligatures w14:val="standardContextual"/>
              </w:rPr>
              <w:t>涉及</w:t>
            </w: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项的，经责令限期改正，逾期不改正的</w:t>
            </w:r>
          </w:p>
        </w:tc>
        <w:tc>
          <w:tcPr>
            <w:tcW w:w="2530" w:type="dxa"/>
            <w:vAlign w:val="center"/>
          </w:tcPr>
          <w:p w14:paraId="6AB4785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警告，</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6D82A0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sz w:val="32"/>
          <w:szCs w:val="32"/>
          <w:lang w:val="en-US" w:eastAsia="zh-CN"/>
        </w:rPr>
      </w:pPr>
    </w:p>
    <w:p w14:paraId="1E29A1C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lang w:val="en-US" w:eastAsia="zh-CN"/>
        </w:rPr>
        <w:t>案由</w:t>
      </w:r>
      <w:r>
        <w:rPr>
          <w:rFonts w:hint="eastAsia" w:ascii="方正楷体_GBK" w:hAnsi="方正楷体_GBK" w:eastAsia="方正楷体_GBK" w:cs="方正楷体_GBK"/>
          <w:sz w:val="32"/>
          <w:szCs w:val="32"/>
        </w:rPr>
        <w:t>二：新建、改建、扩建农村生活饮用水工程项目未按照国家和省有关规定进行卫生学评价，或者卫生学评价不合格进行施工建设的</w:t>
      </w:r>
    </w:p>
    <w:p w14:paraId="5ED131C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bookmarkStart w:id="11" w:name="修改到的地方1"/>
      <w:bookmarkEnd w:id="11"/>
    </w:p>
    <w:p w14:paraId="449960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《江苏省爱国卫生条例》第五十五条 </w:t>
      </w:r>
      <w:r>
        <w:rPr>
          <w:rFonts w:ascii="方正仿宋_GBK" w:hAnsi="方正仿宋_GBK" w:eastAsia="方正仿宋_GBK" w:cs="方正仿宋_GBK"/>
          <w:sz w:val="32"/>
          <w:szCs w:val="32"/>
        </w:rPr>
        <w:t>违反本条例第十五条第二款规定，新建、改建、扩建农村生活饮用水工程项目未按照国家和省有关规定进行卫生学评价，或者卫生学评价不合格进行施工建设的，由卫生行政部门责令限期改正，逾期不改正的，处以五千元以上五万元以下罚款，并责令停止建设</w:t>
      </w:r>
      <w:r>
        <w:rPr>
          <w:rFonts w:hint="eastAsia" w:ascii="方正仿宋_GBK" w:hAnsi="方正仿宋_GBK" w:eastAsia="方正仿宋_GBK" w:cs="方正仿宋_GBK"/>
          <w:sz w:val="32"/>
          <w:szCs w:val="32"/>
        </w:rPr>
        <w:t>。</w:t>
      </w:r>
    </w:p>
    <w:p w14:paraId="7637B40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634"/>
        <w:gridCol w:w="2550"/>
      </w:tblGrid>
      <w:tr w14:paraId="11668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2CFD4EE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634" w:type="dxa"/>
          </w:tcPr>
          <w:p w14:paraId="2EC1783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550" w:type="dxa"/>
          </w:tcPr>
          <w:p w14:paraId="34DC96C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37811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7F70ED3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634" w:type="dxa"/>
          </w:tcPr>
          <w:p w14:paraId="1D012016">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新建、改建、扩建农村生活饮用水工程项目未按照国家和省有关规定进行卫生学评价，且工程仍在建设中，经责令限期改正，逾期不改正的</w:t>
            </w:r>
          </w:p>
        </w:tc>
        <w:tc>
          <w:tcPr>
            <w:tcW w:w="2550" w:type="dxa"/>
            <w:vAlign w:val="center"/>
          </w:tcPr>
          <w:p w14:paraId="0C8AE84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lang w:val="en-US" w:eastAsia="zh-CN"/>
                <w14:ligatures w14:val="standardContextual"/>
              </w:rPr>
              <w:t>50</w:t>
            </w:r>
            <w:r>
              <w:rPr>
                <w:rFonts w:hint="eastAsia" w:ascii="方正仿宋_GBK" w:hAnsi="方正仿宋_GBK" w:eastAsia="方正仿宋_GBK" w:cs="方正仿宋_GBK"/>
                <w:color w:val="auto"/>
                <w:sz w:val="28"/>
                <w:szCs w:val="28"/>
                <w14:ligatures w14:val="standardContextual"/>
              </w:rPr>
              <w:t>00元≤罚款</w:t>
            </w:r>
            <w:r>
              <w:rPr>
                <w:rFonts w:hint="eastAsia" w:ascii="方正仿宋_GBK" w:hAnsi="方正仿宋_GBK" w:eastAsia="方正仿宋_GBK" w:cs="方正仿宋_GBK"/>
                <w:color w:val="auto"/>
                <w:sz w:val="28"/>
                <w:szCs w:val="28"/>
              </w:rPr>
              <w:t>&lt;</w:t>
            </w:r>
            <w:r>
              <w:rPr>
                <w:rFonts w:hint="eastAsia" w:ascii="方正仿宋_GBK" w:hAnsi="方正仿宋_GBK" w:eastAsia="方正仿宋_GBK" w:cs="方正仿宋_GBK"/>
                <w:color w:val="auto"/>
                <w:sz w:val="28"/>
                <w:szCs w:val="28"/>
                <w:lang w:val="en-US" w:eastAsia="zh-CN"/>
                <w14:ligatures w14:val="standardContextual"/>
              </w:rPr>
              <w:t>185</w:t>
            </w:r>
            <w:r>
              <w:rPr>
                <w:rFonts w:hint="eastAsia" w:ascii="方正仿宋_GBK" w:hAnsi="方正仿宋_GBK" w:eastAsia="方正仿宋_GBK" w:cs="方正仿宋_GBK"/>
                <w:color w:val="auto"/>
                <w:sz w:val="28"/>
                <w:szCs w:val="28"/>
                <w14:ligatures w14:val="standardContextual"/>
              </w:rPr>
              <w:t>00元</w:t>
            </w:r>
          </w:p>
        </w:tc>
      </w:tr>
      <w:tr w14:paraId="308D3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15524EE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634" w:type="dxa"/>
            <w:vAlign w:val="center"/>
          </w:tcPr>
          <w:p w14:paraId="127C482A">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新建、改建、扩建农村生活饮用水工程项目未按照国家和省有关规定进行卫生学评价，且工程已完工但尚未实施供水，经责令限期改正，逾期不改正的</w:t>
            </w:r>
          </w:p>
        </w:tc>
        <w:tc>
          <w:tcPr>
            <w:tcW w:w="2550" w:type="dxa"/>
            <w:vAlign w:val="center"/>
          </w:tcPr>
          <w:p w14:paraId="233FE19E">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lang w:val="en-US" w:eastAsia="zh-CN"/>
                <w14:ligatures w14:val="standardContextual"/>
              </w:rPr>
            </w:pPr>
            <w:r>
              <w:rPr>
                <w:rFonts w:hint="eastAsia" w:ascii="方正仿宋_GBK" w:hAnsi="方正仿宋_GBK" w:eastAsia="方正仿宋_GBK" w:cs="方正仿宋_GBK"/>
                <w:color w:val="auto"/>
                <w:sz w:val="28"/>
                <w:szCs w:val="28"/>
                <w:lang w:val="en-US" w:eastAsia="zh-CN"/>
                <w14:ligatures w14:val="standardContextual"/>
              </w:rPr>
              <w:t>185</w:t>
            </w:r>
            <w:r>
              <w:rPr>
                <w:rFonts w:hint="eastAsia" w:ascii="方正仿宋_GBK" w:hAnsi="方正仿宋_GBK" w:eastAsia="方正仿宋_GBK" w:cs="方正仿宋_GBK"/>
                <w:color w:val="auto"/>
                <w:sz w:val="28"/>
                <w:szCs w:val="28"/>
                <w14:ligatures w14:val="standardContextual"/>
              </w:rPr>
              <w:t>00元≤罚款</w:t>
            </w:r>
            <w:r>
              <w:rPr>
                <w:rFonts w:hint="eastAsia" w:ascii="方正仿宋_GBK" w:hAnsi="方正仿宋_GBK" w:eastAsia="方正仿宋_GBK" w:cs="方正仿宋_GBK"/>
                <w:color w:val="auto"/>
                <w:sz w:val="28"/>
                <w:szCs w:val="28"/>
              </w:rPr>
              <w:t>&lt;</w:t>
            </w:r>
            <w:r>
              <w:rPr>
                <w:rFonts w:hint="eastAsia" w:ascii="方正仿宋_GBK" w:hAnsi="方正仿宋_GBK" w:eastAsia="方正仿宋_GBK" w:cs="方正仿宋_GBK"/>
                <w:color w:val="auto"/>
                <w:sz w:val="28"/>
                <w:szCs w:val="28"/>
                <w:lang w:val="en-US" w:eastAsia="zh-CN"/>
                <w14:ligatures w14:val="standardContextual"/>
              </w:rPr>
              <w:t>365</w:t>
            </w:r>
            <w:r>
              <w:rPr>
                <w:rFonts w:hint="eastAsia" w:ascii="方正仿宋_GBK" w:hAnsi="方正仿宋_GBK" w:eastAsia="方正仿宋_GBK" w:cs="方正仿宋_GBK"/>
                <w:color w:val="auto"/>
                <w:sz w:val="28"/>
                <w:szCs w:val="28"/>
                <w14:ligatures w14:val="standardContextual"/>
              </w:rPr>
              <w:t>00元</w:t>
            </w:r>
          </w:p>
        </w:tc>
      </w:tr>
      <w:tr w14:paraId="7C74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292AF16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634" w:type="dxa"/>
            <w:vAlign w:val="center"/>
          </w:tcPr>
          <w:p w14:paraId="455CCDD6">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新建、改建、扩建农村生活饮用水工程项目卫生学评价不合格</w:t>
            </w:r>
            <w:r>
              <w:rPr>
                <w:rFonts w:hint="eastAsia" w:ascii="方正仿宋_GBK" w:hAnsi="方正仿宋_GBK" w:eastAsia="方正仿宋_GBK" w:cs="方正仿宋_GBK"/>
                <w:color w:val="auto"/>
                <w:sz w:val="28"/>
                <w:szCs w:val="28"/>
                <w:lang w:eastAsia="zh-CN"/>
              </w:rPr>
              <w:t>，</w:t>
            </w:r>
            <w:r>
              <w:rPr>
                <w:rFonts w:hint="eastAsia" w:ascii="方正仿宋_GBK" w:hAnsi="方正仿宋_GBK" w:eastAsia="方正仿宋_GBK" w:cs="方正仿宋_GBK"/>
                <w:color w:val="auto"/>
                <w:sz w:val="28"/>
                <w:szCs w:val="28"/>
              </w:rPr>
              <w:t>工程已完工且已实施供水，经责令限期改正，逾期不改正的</w:t>
            </w:r>
          </w:p>
        </w:tc>
        <w:tc>
          <w:tcPr>
            <w:tcW w:w="2550" w:type="dxa"/>
            <w:vAlign w:val="center"/>
          </w:tcPr>
          <w:p w14:paraId="7FE2A24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lang w:val="en-US" w:eastAsia="zh-CN"/>
                <w14:ligatures w14:val="standardContextual"/>
              </w:rPr>
              <w:t>365</w:t>
            </w:r>
            <w:r>
              <w:rPr>
                <w:rFonts w:hint="eastAsia" w:ascii="方正仿宋_GBK" w:hAnsi="方正仿宋_GBK" w:eastAsia="方正仿宋_GBK" w:cs="方正仿宋_GBK"/>
                <w:color w:val="auto"/>
                <w:sz w:val="28"/>
                <w:szCs w:val="28"/>
                <w14:ligatures w14:val="standardContextual"/>
              </w:rPr>
              <w:t>00元≤罚款≤</w:t>
            </w:r>
            <w:r>
              <w:rPr>
                <w:rFonts w:hint="eastAsia" w:ascii="方正仿宋_GBK" w:hAnsi="方正仿宋_GBK" w:eastAsia="方正仿宋_GBK" w:cs="方正仿宋_GBK"/>
                <w:color w:val="auto"/>
                <w:sz w:val="28"/>
                <w:szCs w:val="28"/>
                <w:lang w:val="en-US" w:eastAsia="zh-CN"/>
                <w14:ligatures w14:val="standardContextual"/>
              </w:rPr>
              <w:t>50000</w:t>
            </w:r>
            <w:r>
              <w:rPr>
                <w:rFonts w:hint="eastAsia" w:ascii="方正仿宋_GBK" w:hAnsi="方正仿宋_GBK" w:eastAsia="方正仿宋_GBK" w:cs="方正仿宋_GBK"/>
                <w:color w:val="auto"/>
                <w:sz w:val="28"/>
                <w:szCs w:val="28"/>
                <w14:ligatures w14:val="standardContextual"/>
              </w:rPr>
              <w:t>元</w:t>
            </w:r>
            <w:r>
              <w:rPr>
                <w:rFonts w:hint="eastAsia" w:ascii="方正仿宋_GBK" w:hAnsi="方正仿宋_GBK" w:eastAsia="方正仿宋_GBK" w:cs="方正仿宋_GBK"/>
                <w:color w:val="auto"/>
                <w:sz w:val="28"/>
                <w:szCs w:val="28"/>
              </w:rPr>
              <w:t>，并责令停止建设</w:t>
            </w:r>
          </w:p>
        </w:tc>
      </w:tr>
    </w:tbl>
    <w:p w14:paraId="01784142">
      <w:pPr>
        <w:spacing w:line="520" w:lineRule="exact"/>
        <w:ind w:firstLine="640" w:firstLineChars="200"/>
        <w:rPr>
          <w:rFonts w:ascii="方正小标宋_GBK" w:eastAsia="方正小标宋_GBK"/>
          <w:sz w:val="32"/>
          <w:szCs w:val="32"/>
        </w:rPr>
      </w:pPr>
    </w:p>
    <w:p w14:paraId="7F8C5D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案由三：新建、改建、扩建农村生活饮用水工程项目竣工后卫生学评价不合格投入使用，供应的饮用水不符合国家生活饮用水卫生标准的</w:t>
      </w:r>
    </w:p>
    <w:p w14:paraId="748CF1C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1610D3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《江苏省爱国卫生条例》第五十五条 </w:t>
      </w:r>
      <w:r>
        <w:rPr>
          <w:rFonts w:ascii="方正仿宋_GBK" w:hAnsi="方正仿宋_GBK" w:eastAsia="方正仿宋_GBK" w:cs="方正仿宋_GBK"/>
          <w:sz w:val="32"/>
          <w:szCs w:val="32"/>
        </w:rPr>
        <w:t>违反本条例第十五条第二款规定，</w:t>
      </w:r>
      <w:r>
        <w:rPr>
          <w:rFonts w:hint="eastAsia" w:ascii="方正仿宋_GBK" w:hAnsi="方正仿宋_GBK" w:eastAsia="方正仿宋_GBK" w:cs="方正仿宋_GBK"/>
          <w:sz w:val="32"/>
          <w:szCs w:val="32"/>
        </w:rPr>
        <w:t>（</w:t>
      </w:r>
      <w:r>
        <w:rPr>
          <w:rFonts w:ascii="方正仿宋_GBK" w:hAnsi="方正仿宋_GBK" w:eastAsia="方正仿宋_GBK" w:cs="方正仿宋_GBK"/>
          <w:sz w:val="32"/>
          <w:szCs w:val="32"/>
        </w:rPr>
        <w:t>新建、改建、扩建农村生活饮用水工程</w:t>
      </w:r>
      <w:r>
        <w:rPr>
          <w:rFonts w:hint="eastAsia" w:ascii="方正仿宋_GBK" w:hAnsi="方正仿宋_GBK" w:eastAsia="方正仿宋_GBK" w:cs="方正仿宋_GBK"/>
          <w:sz w:val="32"/>
          <w:szCs w:val="32"/>
        </w:rPr>
        <w:t>）</w:t>
      </w:r>
      <w:r>
        <w:rPr>
          <w:rFonts w:ascii="方正仿宋_GBK" w:hAnsi="方正仿宋_GBK" w:eastAsia="方正仿宋_GBK" w:cs="方正仿宋_GBK"/>
          <w:sz w:val="32"/>
          <w:szCs w:val="32"/>
        </w:rPr>
        <w:t>项目竣工后卫生学评价不合格投入使用，供应的饮用水不符合国家生活饮用水卫生标准的，由卫生行政部门责令限期改正，处以五千元以上五万元以下罚款，逾期不改正的，提请同级人民政府予以关闭。</w:t>
      </w:r>
    </w:p>
    <w:p w14:paraId="3A6F77A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794"/>
        <w:gridCol w:w="2370"/>
      </w:tblGrid>
      <w:tr w14:paraId="7125C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61" w:type="dxa"/>
          </w:tcPr>
          <w:p w14:paraId="091A9B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794" w:type="dxa"/>
          </w:tcPr>
          <w:p w14:paraId="3B0D45A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370" w:type="dxa"/>
          </w:tcPr>
          <w:p w14:paraId="2A868B2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4B35A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20CAAC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794" w:type="dxa"/>
          </w:tcPr>
          <w:p w14:paraId="0E7D2577">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新建、改建、扩建农村生活饮用水工程项目竣工后卫生学评价不合格投入使用，供应的饮用水不符合国家生活饮用水卫生标准其中一项的</w:t>
            </w:r>
          </w:p>
        </w:tc>
        <w:tc>
          <w:tcPr>
            <w:tcW w:w="2370" w:type="dxa"/>
            <w:vAlign w:val="center"/>
          </w:tcPr>
          <w:p w14:paraId="194089F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5</w:t>
            </w:r>
            <w:r>
              <w:rPr>
                <w:rFonts w:hint="eastAsia" w:ascii="方正仿宋_GBK" w:hAnsi="方正仿宋_GBK" w:eastAsia="方正仿宋_GBK" w:cs="方正仿宋_GBK"/>
                <w:sz w:val="28"/>
                <w:szCs w:val="28"/>
                <w14:ligatures w14:val="standardContextual"/>
              </w:rPr>
              <w:t>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rPr>
              <w:t>1</w:t>
            </w:r>
            <w:r>
              <w:rPr>
                <w:rFonts w:hint="eastAsia" w:ascii="方正仿宋_GBK" w:hAnsi="方正仿宋_GBK" w:eastAsia="方正仿宋_GBK" w:cs="方正仿宋_GBK"/>
                <w:sz w:val="28"/>
                <w:szCs w:val="28"/>
                <w:lang w:val="en-US" w:eastAsia="zh-CN"/>
                <w14:ligatures w14:val="standardContextual"/>
              </w:rPr>
              <w:t>850</w:t>
            </w:r>
            <w:r>
              <w:rPr>
                <w:rFonts w:hint="eastAsia" w:ascii="方正仿宋_GBK" w:hAnsi="方正仿宋_GBK" w:eastAsia="方正仿宋_GBK" w:cs="方正仿宋_GBK"/>
                <w:sz w:val="28"/>
                <w:szCs w:val="28"/>
                <w14:ligatures w14:val="standardContextual"/>
              </w:rPr>
              <w:t>0元</w:t>
            </w:r>
          </w:p>
        </w:tc>
      </w:tr>
      <w:tr w14:paraId="49A6C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4662DD4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794" w:type="dxa"/>
            <w:vAlign w:val="center"/>
          </w:tcPr>
          <w:p w14:paraId="3C359EB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新建、改建、扩建农村生活饮用水工程项目竣工后卫生学评价不合格投入使用，供应的饮用水不符合国家生活饮用水卫生标准其中两项的</w:t>
            </w:r>
          </w:p>
        </w:tc>
        <w:tc>
          <w:tcPr>
            <w:tcW w:w="2370" w:type="dxa"/>
            <w:vAlign w:val="center"/>
          </w:tcPr>
          <w:p w14:paraId="7D1C5EC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1</w:t>
            </w:r>
            <w:r>
              <w:rPr>
                <w:rFonts w:hint="eastAsia" w:ascii="方正仿宋_GBK" w:hAnsi="方正仿宋_GBK" w:eastAsia="方正仿宋_GBK" w:cs="方正仿宋_GBK"/>
                <w:sz w:val="28"/>
                <w:szCs w:val="28"/>
                <w:lang w:val="en-US" w:eastAsia="zh-CN"/>
                <w14:ligatures w14:val="standardContextual"/>
              </w:rPr>
              <w:t>850</w:t>
            </w:r>
            <w:r>
              <w:rPr>
                <w:rFonts w:hint="eastAsia" w:ascii="方正仿宋_GBK" w:hAnsi="方正仿宋_GBK" w:eastAsia="方正仿宋_GBK" w:cs="方正仿宋_GBK"/>
                <w:sz w:val="28"/>
                <w:szCs w:val="28"/>
                <w14:ligatures w14:val="standardContextual"/>
              </w:rPr>
              <w:t>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365</w:t>
            </w:r>
            <w:r>
              <w:rPr>
                <w:rFonts w:hint="eastAsia" w:ascii="方正仿宋_GBK" w:hAnsi="方正仿宋_GBK" w:eastAsia="方正仿宋_GBK" w:cs="方正仿宋_GBK"/>
                <w:sz w:val="28"/>
                <w:szCs w:val="28"/>
                <w14:ligatures w14:val="standardContextual"/>
              </w:rPr>
              <w:t>00元</w:t>
            </w:r>
          </w:p>
        </w:tc>
      </w:tr>
      <w:tr w14:paraId="04102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7D3939B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794" w:type="dxa"/>
            <w:vAlign w:val="center"/>
          </w:tcPr>
          <w:p w14:paraId="0CC2484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新建、改建、扩建农村生活饮用水工程项目竣工后卫生学评价不合格投入使用，供应的饮用水不符合国家生活饮用水卫生标准其中三项及以上的</w:t>
            </w:r>
          </w:p>
        </w:tc>
        <w:tc>
          <w:tcPr>
            <w:tcW w:w="2370" w:type="dxa"/>
            <w:vAlign w:val="center"/>
          </w:tcPr>
          <w:p w14:paraId="5A2F8CEA">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365</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50000</w:t>
            </w:r>
            <w:r>
              <w:rPr>
                <w:rFonts w:hint="eastAsia" w:ascii="方正仿宋_GBK" w:hAnsi="方正仿宋_GBK" w:eastAsia="方正仿宋_GBK" w:cs="方正仿宋_GBK"/>
                <w:sz w:val="28"/>
                <w:szCs w:val="28"/>
                <w14:ligatures w14:val="standardContextual"/>
              </w:rPr>
              <w:t>元</w:t>
            </w:r>
          </w:p>
        </w:tc>
      </w:tr>
      <w:tr w14:paraId="64A87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737D8DC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情节严重</w:t>
            </w:r>
          </w:p>
        </w:tc>
        <w:tc>
          <w:tcPr>
            <w:tcW w:w="4794" w:type="dxa"/>
            <w:vAlign w:val="center"/>
          </w:tcPr>
          <w:p w14:paraId="030BF0D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新建、改建、扩建农村生活饮用水工程项目竣工后卫生学评价不合格投入使用，供应的饮用水不符合国家生活饮用水卫生标准，且经责令限期改正后逾期不改正的</w:t>
            </w:r>
          </w:p>
        </w:tc>
        <w:tc>
          <w:tcPr>
            <w:tcW w:w="2370" w:type="dxa"/>
            <w:vAlign w:val="center"/>
          </w:tcPr>
          <w:p w14:paraId="2ED9748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提请同级人民政府予以关闭</w:t>
            </w:r>
          </w:p>
        </w:tc>
      </w:tr>
    </w:tbl>
    <w:p w14:paraId="3C9C1097">
      <w:pPr>
        <w:spacing w:line="520" w:lineRule="exact"/>
        <w:ind w:firstLine="640" w:firstLineChars="200"/>
        <w:rPr>
          <w:rFonts w:ascii="方正小标宋_GBK" w:eastAsia="方正小标宋_GBK"/>
          <w:sz w:val="32"/>
          <w:szCs w:val="32"/>
        </w:rPr>
      </w:pPr>
    </w:p>
    <w:p w14:paraId="12CE8E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案由四：禁止吸烟场所所在单位未设置醒目的禁止吸烟警语和标志的</w:t>
      </w:r>
    </w:p>
    <w:p w14:paraId="02797D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3471261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《江苏省爱国卫生条例》第五十六条 </w:t>
      </w:r>
      <w:r>
        <w:rPr>
          <w:rFonts w:ascii="方正仿宋_GBK" w:hAnsi="方正仿宋_GBK" w:eastAsia="方正仿宋_GBK" w:cs="方正仿宋_GBK"/>
          <w:sz w:val="32"/>
          <w:szCs w:val="32"/>
        </w:rPr>
        <w:t>违反本条例第三十三条、第三十四条规定，有下列情形之一的，除法律、法规另有处罚规定外，由本条例第三十一条规定的有关部门、机构责令限期改正；逾期不改正，处以一千元以上一万元以下罚款：</w:t>
      </w:r>
    </w:p>
    <w:p w14:paraId="0CABEF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（一）禁止吸烟场所所在单位未设置醒目的禁止吸烟警语和标志的</w:t>
      </w:r>
      <w:r>
        <w:rPr>
          <w:rFonts w:hint="eastAsia" w:ascii="方正仿宋_GBK" w:hAnsi="方正仿宋_GBK" w:eastAsia="方正仿宋_GBK" w:cs="方正仿宋_GBK"/>
          <w:sz w:val="32"/>
          <w:szCs w:val="32"/>
        </w:rPr>
        <w:t>；</w:t>
      </w:r>
    </w:p>
    <w:p w14:paraId="3A25753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684"/>
        <w:gridCol w:w="2530"/>
      </w:tblGrid>
      <w:tr w14:paraId="18B5C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4A661E9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684" w:type="dxa"/>
          </w:tcPr>
          <w:p w14:paraId="29BF0C8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530" w:type="dxa"/>
          </w:tcPr>
          <w:p w14:paraId="3BF9628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3740E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48DA58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684" w:type="dxa"/>
          </w:tcPr>
          <w:p w14:paraId="42C4A2D8">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禁止吸烟场所所在单位有两处及以下位置未设置醒目的禁止吸烟警语和标志，且经责令限期改正后逾期不改正的</w:t>
            </w:r>
          </w:p>
        </w:tc>
        <w:tc>
          <w:tcPr>
            <w:tcW w:w="2530" w:type="dxa"/>
            <w:vAlign w:val="center"/>
          </w:tcPr>
          <w:p w14:paraId="0A15875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3E714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6D2E2F6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684" w:type="dxa"/>
          </w:tcPr>
          <w:p w14:paraId="51D59851">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禁止吸烟场所所在单位有三处或四处位置未设置醒目的禁止吸烟警语和标志，且经责令限期改正后逾期不改正的</w:t>
            </w:r>
          </w:p>
        </w:tc>
        <w:tc>
          <w:tcPr>
            <w:tcW w:w="2530" w:type="dxa"/>
            <w:vAlign w:val="center"/>
          </w:tcPr>
          <w:p w14:paraId="5CBA435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7EC24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E40573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684" w:type="dxa"/>
            <w:vAlign w:val="center"/>
          </w:tcPr>
          <w:p w14:paraId="279C224B">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禁止吸烟场所所在单位有五处及以上位置未设置醒目的禁止吸烟警语和标志，且经责令限期改正后逾期不改正的</w:t>
            </w:r>
          </w:p>
        </w:tc>
        <w:tc>
          <w:tcPr>
            <w:tcW w:w="2530" w:type="dxa"/>
            <w:vAlign w:val="center"/>
          </w:tcPr>
          <w:p w14:paraId="63CD17D1">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0EBE1B6D">
      <w:pPr>
        <w:spacing w:line="520" w:lineRule="exact"/>
        <w:ind w:firstLine="640" w:firstLineChars="200"/>
        <w:rPr>
          <w:rFonts w:ascii="方正小标宋_GBK" w:eastAsia="方正小标宋_GBK"/>
          <w:sz w:val="32"/>
          <w:szCs w:val="32"/>
        </w:rPr>
      </w:pPr>
    </w:p>
    <w:p w14:paraId="7B90FF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案由五：禁止吸烟场所所在单位未对吸烟者进行劝阻的</w:t>
      </w:r>
    </w:p>
    <w:p w14:paraId="05A78A5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69DFAC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《江苏省爱国卫生条例》第五十六条 </w:t>
      </w:r>
      <w:r>
        <w:rPr>
          <w:rFonts w:ascii="方正仿宋_GBK" w:hAnsi="方正仿宋_GBK" w:eastAsia="方正仿宋_GBK" w:cs="方正仿宋_GBK"/>
          <w:sz w:val="32"/>
          <w:szCs w:val="32"/>
        </w:rPr>
        <w:t>违反本条例第三十三条、第三十四条规定，有下列情形之一的，除法律、法规另有处罚规定外，由本条例第三十一条规定的有关部门、机构责令限期改正；逾期不改正，处以一千元以上一万元以下罚款：</w:t>
      </w:r>
    </w:p>
    <w:p w14:paraId="12C1108F">
      <w:pPr>
        <w:keepNext w:val="0"/>
        <w:keepLines w:val="0"/>
        <w:pageBreakBefore w:val="0"/>
        <w:widowControl w:val="0"/>
        <w:kinsoku/>
        <w:wordWrap/>
        <w:overflowPunct/>
        <w:topLinePunct w:val="0"/>
        <w:autoSpaceDE/>
        <w:autoSpaceDN/>
        <w:bidi w:val="0"/>
        <w:adjustRightInd/>
        <w:snapToGrid/>
        <w:spacing w:line="560" w:lineRule="exact"/>
        <w:ind w:left="63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（二）禁止吸烟场所所在单位未对吸烟者进行劝阻的；</w:t>
      </w:r>
    </w:p>
    <w:p w14:paraId="3124A8E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504"/>
        <w:gridCol w:w="2670"/>
      </w:tblGrid>
      <w:tr w14:paraId="3D0AC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270D80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504" w:type="dxa"/>
          </w:tcPr>
          <w:p w14:paraId="714667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670" w:type="dxa"/>
          </w:tcPr>
          <w:p w14:paraId="707876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54A53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23C3CBB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504" w:type="dxa"/>
          </w:tcPr>
          <w:p w14:paraId="078CD6CB">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禁止吸烟场所所在单位存在一</w:t>
            </w:r>
            <w:r>
              <w:rPr>
                <w:rFonts w:hint="eastAsia" w:ascii="方正仿宋_GBK" w:hAnsi="方正仿宋_GBK" w:eastAsia="方正仿宋_GBK" w:cs="方正仿宋_GBK"/>
                <w:sz w:val="28"/>
                <w:szCs w:val="28"/>
                <w:lang w:eastAsia="zh-CN"/>
              </w:rPr>
              <w:t>人</w:t>
            </w:r>
            <w:r>
              <w:rPr>
                <w:rFonts w:hint="eastAsia" w:ascii="方正仿宋_GBK" w:hAnsi="方正仿宋_GBK" w:eastAsia="方正仿宋_GBK" w:cs="方正仿宋_GBK"/>
                <w:sz w:val="28"/>
                <w:szCs w:val="28"/>
              </w:rPr>
              <w:t>次未对吸烟者进行劝阻，且经责令限期改正后逾期不改正的</w:t>
            </w:r>
          </w:p>
        </w:tc>
        <w:tc>
          <w:tcPr>
            <w:tcW w:w="2670" w:type="dxa"/>
            <w:vAlign w:val="center"/>
          </w:tcPr>
          <w:p w14:paraId="53B621F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5FDDF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05EB6B5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504" w:type="dxa"/>
            <w:vAlign w:val="center"/>
          </w:tcPr>
          <w:p w14:paraId="48CD374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禁止吸烟场所所在单位存在两</w:t>
            </w:r>
            <w:r>
              <w:rPr>
                <w:rFonts w:hint="eastAsia" w:ascii="方正仿宋_GBK" w:hAnsi="方正仿宋_GBK" w:eastAsia="方正仿宋_GBK" w:cs="方正仿宋_GBK"/>
                <w:sz w:val="28"/>
                <w:szCs w:val="28"/>
                <w:lang w:eastAsia="zh-CN"/>
              </w:rPr>
              <w:t>人</w:t>
            </w:r>
            <w:r>
              <w:rPr>
                <w:rFonts w:hint="eastAsia" w:ascii="方正仿宋_GBK" w:hAnsi="方正仿宋_GBK" w:eastAsia="方正仿宋_GBK" w:cs="方正仿宋_GBK"/>
                <w:sz w:val="28"/>
                <w:szCs w:val="28"/>
              </w:rPr>
              <w:t>次未对吸烟者进行劝阻，且经责令限期改正后逾期不改正的</w:t>
            </w:r>
          </w:p>
        </w:tc>
        <w:tc>
          <w:tcPr>
            <w:tcW w:w="2670" w:type="dxa"/>
            <w:vAlign w:val="center"/>
          </w:tcPr>
          <w:p w14:paraId="47F87AA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79B90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9BAF1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504" w:type="dxa"/>
            <w:vAlign w:val="center"/>
          </w:tcPr>
          <w:p w14:paraId="436DB8BD">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禁止吸烟场所所在单位存在三</w:t>
            </w:r>
            <w:r>
              <w:rPr>
                <w:rFonts w:hint="eastAsia" w:ascii="方正仿宋_GBK" w:hAnsi="方正仿宋_GBK" w:eastAsia="方正仿宋_GBK" w:cs="方正仿宋_GBK"/>
                <w:sz w:val="28"/>
                <w:szCs w:val="28"/>
                <w:lang w:eastAsia="zh-CN"/>
              </w:rPr>
              <w:t>人</w:t>
            </w:r>
            <w:r>
              <w:rPr>
                <w:rFonts w:hint="eastAsia" w:ascii="方正仿宋_GBK" w:hAnsi="方正仿宋_GBK" w:eastAsia="方正仿宋_GBK" w:cs="方正仿宋_GBK"/>
                <w:sz w:val="28"/>
                <w:szCs w:val="28"/>
              </w:rPr>
              <w:t>次及以上未对吸烟者进行劝阻，且经责令限期改正后逾期不改正的</w:t>
            </w:r>
          </w:p>
        </w:tc>
        <w:tc>
          <w:tcPr>
            <w:tcW w:w="2670" w:type="dxa"/>
            <w:vAlign w:val="center"/>
          </w:tcPr>
          <w:p w14:paraId="65583D8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062C7841">
      <w:pPr>
        <w:spacing w:line="520" w:lineRule="exact"/>
        <w:ind w:firstLine="640" w:firstLineChars="200"/>
        <w:rPr>
          <w:rFonts w:ascii="方正小标宋_GBK" w:eastAsia="方正小标宋_GBK"/>
          <w:sz w:val="32"/>
          <w:szCs w:val="32"/>
        </w:rPr>
      </w:pPr>
    </w:p>
    <w:p w14:paraId="634421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案由六：应当划定吸烟区或者设置吸烟室而未划定或者设置的</w:t>
      </w:r>
    </w:p>
    <w:p w14:paraId="3BF91CA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31C9FF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《江苏省爱国卫生条例》第五十六条 </w:t>
      </w:r>
      <w:r>
        <w:rPr>
          <w:rFonts w:ascii="方正仿宋_GBK" w:hAnsi="方正仿宋_GBK" w:eastAsia="方正仿宋_GBK" w:cs="方正仿宋_GBK"/>
          <w:sz w:val="32"/>
          <w:szCs w:val="32"/>
        </w:rPr>
        <w:t>违反本条例第三十三条、第三十四条规定，有下列情形之一的，除法律、法规另有处罚规定外，由本条例第三十一条规定的有关部门、机构责令限期改正；逾期不改正，处以一千元以上一万元以下罚款：</w:t>
      </w:r>
    </w:p>
    <w:p w14:paraId="7C7F84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（三）应当划定吸烟区或者设置吸烟室而未划定或者设置的；</w:t>
      </w:r>
    </w:p>
    <w:p w14:paraId="29A89E1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624"/>
        <w:gridCol w:w="2550"/>
      </w:tblGrid>
      <w:tr w14:paraId="09F4C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61" w:type="dxa"/>
          </w:tcPr>
          <w:p w14:paraId="647AE7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624" w:type="dxa"/>
          </w:tcPr>
          <w:p w14:paraId="048C1FD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550" w:type="dxa"/>
          </w:tcPr>
          <w:p w14:paraId="72D975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1CB53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4113EA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624" w:type="dxa"/>
          </w:tcPr>
          <w:p w14:paraId="2BD2E36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应当划定吸烟区或者设置吸烟室而未划定或者设置，责令限期改正后逾期不改正的</w:t>
            </w:r>
            <w:r>
              <w:rPr>
                <w:rFonts w:hint="eastAsia" w:ascii="方正仿宋_GBK" w:hAnsi="方正仿宋_GBK" w:eastAsia="方正仿宋_GBK" w:cs="方正仿宋_GBK"/>
                <w:sz w:val="28"/>
                <w:szCs w:val="28"/>
                <w:lang w:eastAsia="zh-CN"/>
              </w:rPr>
              <w:t>，具有《江苏省卫生健康行政处罚裁量适用办法》从轻情形</w:t>
            </w:r>
          </w:p>
        </w:tc>
        <w:tc>
          <w:tcPr>
            <w:tcW w:w="2550" w:type="dxa"/>
            <w:vAlign w:val="center"/>
          </w:tcPr>
          <w:p w14:paraId="2529E07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577C1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09A2D8F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624" w:type="dxa"/>
          </w:tcPr>
          <w:p w14:paraId="6250D67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应当划定吸烟区或者设置吸烟室而未划定或者设置，责令限期改正后逾期不改正的</w:t>
            </w:r>
            <w:r>
              <w:rPr>
                <w:rFonts w:hint="eastAsia" w:ascii="方正仿宋_GBK" w:hAnsi="方正仿宋_GBK" w:eastAsia="方正仿宋_GBK" w:cs="方正仿宋_GBK"/>
                <w:sz w:val="28"/>
                <w:szCs w:val="28"/>
                <w:lang w:eastAsia="zh-CN"/>
              </w:rPr>
              <w:t>，不具有《江苏省卫生健康行政处罚裁量适用办法》从轻、从重情形</w:t>
            </w:r>
          </w:p>
        </w:tc>
        <w:tc>
          <w:tcPr>
            <w:tcW w:w="2550" w:type="dxa"/>
            <w:vAlign w:val="center"/>
          </w:tcPr>
          <w:p w14:paraId="5BCB802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58624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E94AFA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624" w:type="dxa"/>
          </w:tcPr>
          <w:p w14:paraId="721888B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应当划定吸烟区或者设置吸烟室而未划定或者设置，责令限期改正后逾期不改正的</w:t>
            </w:r>
            <w:r>
              <w:rPr>
                <w:rFonts w:hint="eastAsia" w:ascii="方正仿宋_GBK" w:hAnsi="方正仿宋_GBK" w:eastAsia="方正仿宋_GBK" w:cs="方正仿宋_GBK"/>
                <w:sz w:val="28"/>
                <w:szCs w:val="28"/>
                <w:lang w:eastAsia="zh-CN"/>
              </w:rPr>
              <w:t>，具有《江苏省卫生健康行政处罚裁量适用办法》从重情形</w:t>
            </w:r>
          </w:p>
        </w:tc>
        <w:tc>
          <w:tcPr>
            <w:tcW w:w="2550" w:type="dxa"/>
            <w:vAlign w:val="center"/>
          </w:tcPr>
          <w:p w14:paraId="072915B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3C458948">
      <w:pPr>
        <w:spacing w:line="520" w:lineRule="exact"/>
        <w:ind w:firstLine="640" w:firstLineChars="200"/>
        <w:rPr>
          <w:rFonts w:ascii="方正小标宋_GBK" w:eastAsia="方正小标宋_GBK"/>
          <w:sz w:val="32"/>
          <w:szCs w:val="32"/>
        </w:rPr>
      </w:pPr>
    </w:p>
    <w:p w14:paraId="09A54F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案由七：吸烟区（室）划定（设置）不符合要求的</w:t>
      </w:r>
    </w:p>
    <w:p w14:paraId="15A218D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27F07A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《江苏省爱国卫生条例》第五十六条 </w:t>
      </w:r>
      <w:r>
        <w:rPr>
          <w:rFonts w:ascii="方正仿宋_GBK" w:hAnsi="方正仿宋_GBK" w:eastAsia="方正仿宋_GBK" w:cs="方正仿宋_GBK"/>
          <w:sz w:val="32"/>
          <w:szCs w:val="32"/>
        </w:rPr>
        <w:t>违反本条例第三十三条、第三十四条规定，有下列情形之一的，除法律、法规另有处罚规定外，由本条例第三十一条规定的有关部门、机构责令限期改正；逾期不改正，处以一千元以上一万元以下罚款：</w:t>
      </w:r>
    </w:p>
    <w:p w14:paraId="177D0C05">
      <w:pPr>
        <w:keepNext w:val="0"/>
        <w:keepLines w:val="0"/>
        <w:pageBreakBefore w:val="0"/>
        <w:widowControl w:val="0"/>
        <w:kinsoku/>
        <w:wordWrap/>
        <w:overflowPunct/>
        <w:topLinePunct w:val="0"/>
        <w:autoSpaceDE/>
        <w:autoSpaceDN/>
        <w:bidi w:val="0"/>
        <w:adjustRightInd/>
        <w:snapToGrid/>
        <w:spacing w:line="560" w:lineRule="exact"/>
        <w:ind w:left="63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（四）吸烟区（室）未与非吸烟区有效分隔的；</w:t>
      </w:r>
    </w:p>
    <w:p w14:paraId="6D8F8DCA">
      <w:pPr>
        <w:keepNext w:val="0"/>
        <w:keepLines w:val="0"/>
        <w:pageBreakBefore w:val="0"/>
        <w:widowControl w:val="0"/>
        <w:kinsoku/>
        <w:wordWrap/>
        <w:overflowPunct/>
        <w:topLinePunct w:val="0"/>
        <w:autoSpaceDE/>
        <w:autoSpaceDN/>
        <w:bidi w:val="0"/>
        <w:adjustRightInd/>
        <w:snapToGrid/>
        <w:spacing w:line="560" w:lineRule="exact"/>
        <w:ind w:left="63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（五）吸烟区（室）位于主要通道的；</w:t>
      </w:r>
    </w:p>
    <w:p w14:paraId="738B13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（六）吸烟区（室）未设置通风换气装置或者设置通风换气装置不符合要求的。</w:t>
      </w:r>
    </w:p>
    <w:p w14:paraId="274133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（七）划定吸烟区或者设置吸烟室的单位未设置醒目标志的；</w:t>
      </w:r>
    </w:p>
    <w:p w14:paraId="380392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（八）吸烟区（室）未配置烟灰缸（盒）的；</w:t>
      </w:r>
    </w:p>
    <w:p w14:paraId="51BEA23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（九）吸烟区（室）未设置吸烟有害健康等控制吸烟宣传警语的。</w:t>
      </w:r>
    </w:p>
    <w:p w14:paraId="199DB74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524"/>
        <w:gridCol w:w="2600"/>
      </w:tblGrid>
      <w:tr w14:paraId="2E8BD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61" w:type="dxa"/>
          </w:tcPr>
          <w:p w14:paraId="3055EF2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524" w:type="dxa"/>
          </w:tcPr>
          <w:p w14:paraId="1CDA7D4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600" w:type="dxa"/>
          </w:tcPr>
          <w:p w14:paraId="5C7D833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3A57B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8ECA85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524" w:type="dxa"/>
          </w:tcPr>
          <w:p w14:paraId="4B2143B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划定吸烟区或者设置吸烟室的单位具有上述情形两项及以下，且经责令限期改正后逾期不改正的</w:t>
            </w:r>
          </w:p>
        </w:tc>
        <w:tc>
          <w:tcPr>
            <w:tcW w:w="2600" w:type="dxa"/>
            <w:vAlign w:val="center"/>
          </w:tcPr>
          <w:p w14:paraId="0FC5266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w:t>
            </w:r>
          </w:p>
        </w:tc>
      </w:tr>
      <w:tr w14:paraId="6DEE7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D969E1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524" w:type="dxa"/>
            <w:vAlign w:val="center"/>
          </w:tcPr>
          <w:p w14:paraId="369CEE9C">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划定吸烟区或者设置吸烟室的单位具有上述情形三项或四项，且经责令限期改正后逾期不改正的</w:t>
            </w:r>
          </w:p>
        </w:tc>
        <w:tc>
          <w:tcPr>
            <w:tcW w:w="2600" w:type="dxa"/>
            <w:vAlign w:val="center"/>
          </w:tcPr>
          <w:p w14:paraId="754ACD2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37</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w:t>
            </w:r>
          </w:p>
        </w:tc>
      </w:tr>
      <w:tr w14:paraId="274E5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749DDC3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524" w:type="dxa"/>
            <w:vAlign w:val="center"/>
          </w:tcPr>
          <w:p w14:paraId="77D4FE8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划定吸烟区或者设置吸烟室的单位具有上述情形五项或以上，且经责令限期改正后逾期不改正的</w:t>
            </w:r>
          </w:p>
        </w:tc>
        <w:tc>
          <w:tcPr>
            <w:tcW w:w="2600" w:type="dxa"/>
            <w:vAlign w:val="center"/>
          </w:tcPr>
          <w:p w14:paraId="471428E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73</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0D5366D1">
      <w:pPr>
        <w:spacing w:line="520" w:lineRule="exact"/>
        <w:ind w:firstLine="640" w:firstLineChars="200"/>
        <w:rPr>
          <w:rFonts w:ascii="方正小标宋_GBK" w:eastAsia="方正小标宋_GBK"/>
          <w:sz w:val="32"/>
          <w:szCs w:val="32"/>
        </w:rPr>
      </w:pPr>
    </w:p>
    <w:p w14:paraId="202883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案由八：在禁止吸烟场所内吸烟的</w:t>
      </w:r>
    </w:p>
    <w:p w14:paraId="5ABC7DE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4C5694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《江苏省爱国卫生条例》第五十六条 </w:t>
      </w:r>
      <w:r>
        <w:rPr>
          <w:rFonts w:ascii="方正仿宋_GBK" w:hAnsi="方正仿宋_GBK" w:eastAsia="方正仿宋_GBK" w:cs="方正仿宋_GBK"/>
          <w:sz w:val="32"/>
          <w:szCs w:val="32"/>
        </w:rPr>
        <w:t>违反本条例第三十三条、第三十四条规定，在禁止吸烟场所内吸烟的，由本条例第三十一条规定的有关部门、机构责令改正，并处以二十元以上五十元以下罚款。</w:t>
      </w:r>
    </w:p>
    <w:p w14:paraId="2D3CA79D">
      <w:pPr>
        <w:keepNext w:val="0"/>
        <w:keepLines w:val="0"/>
        <w:pageBreakBefore w:val="0"/>
        <w:widowControl w:val="0"/>
        <w:kinsoku/>
        <w:wordWrap/>
        <w:overflowPunct/>
        <w:topLinePunct/>
        <w:autoSpaceDE w:val="0"/>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462"/>
        <w:gridCol w:w="4578"/>
        <w:gridCol w:w="3020"/>
      </w:tblGrid>
      <w:tr w14:paraId="09D6B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62" w:type="dxa"/>
            <w:vAlign w:val="top"/>
          </w:tcPr>
          <w:p w14:paraId="02F65388">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rPr>
              <w:t>裁量阶次</w:t>
            </w:r>
          </w:p>
        </w:tc>
        <w:tc>
          <w:tcPr>
            <w:tcW w:w="4578" w:type="dxa"/>
            <w:vAlign w:val="top"/>
          </w:tcPr>
          <w:p w14:paraId="704C3EF8">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rPr>
              <w:t>适用条件</w:t>
            </w:r>
          </w:p>
        </w:tc>
        <w:tc>
          <w:tcPr>
            <w:tcW w:w="3020" w:type="dxa"/>
            <w:vAlign w:val="top"/>
          </w:tcPr>
          <w:p w14:paraId="3C0064B6">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楷体_GBK" w:hAnsi="方正楷体_GBK" w:eastAsia="方正楷体_GBK" w:cs="方正楷体_GBK"/>
                <w:b w:val="0"/>
                <w:bCs w:val="0"/>
                <w:sz w:val="28"/>
                <w:szCs w:val="28"/>
              </w:rPr>
              <w:t>具体标准</w:t>
            </w:r>
          </w:p>
        </w:tc>
      </w:tr>
      <w:tr w14:paraId="01EC1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462" w:type="dxa"/>
            <w:vAlign w:val="center"/>
          </w:tcPr>
          <w:p w14:paraId="159C0010">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rPr>
              <w:t>情节较轻</w:t>
            </w:r>
          </w:p>
        </w:tc>
        <w:tc>
          <w:tcPr>
            <w:tcW w:w="4578" w:type="dxa"/>
            <w:vAlign w:val="top"/>
          </w:tcPr>
          <w:p w14:paraId="40A1AE33">
            <w:pPr>
              <w:keepNext w:val="0"/>
              <w:keepLines w:val="0"/>
              <w:pageBreakBefore w:val="0"/>
              <w:widowControl w:val="0"/>
              <w:kinsoku/>
              <w:wordWrap/>
              <w:overflowPunct/>
              <w:topLinePunct w:val="0"/>
              <w:autoSpaceDE w:val="0"/>
              <w:autoSpaceDN/>
              <w:bidi w:val="0"/>
              <w:adjustRightInd/>
              <w:snapToGrid/>
              <w:spacing w:line="400" w:lineRule="exact"/>
              <w:jc w:val="lef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rPr>
              <w:t>在禁止吸烟场所内吸烟，经劝阻后停止吸烟行为的</w:t>
            </w:r>
          </w:p>
        </w:tc>
        <w:tc>
          <w:tcPr>
            <w:tcW w:w="3020" w:type="dxa"/>
            <w:vAlign w:val="center"/>
          </w:tcPr>
          <w:p w14:paraId="3FC8B960">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lang w:val="en-US" w:eastAsia="zh-CN"/>
                <w14:ligatures w14:val="standardContextual"/>
              </w:rPr>
              <w:t>2</w:t>
            </w:r>
            <w:r>
              <w:rPr>
                <w:rFonts w:hint="eastAsia" w:ascii="方正仿宋_GBK" w:hAnsi="方正仿宋_GBK" w:eastAsia="方正仿宋_GBK" w:cs="方正仿宋_GBK"/>
                <w:color w:val="auto"/>
                <w:sz w:val="28"/>
                <w:szCs w:val="28"/>
                <w14:ligatures w14:val="standardContextual"/>
              </w:rPr>
              <w:t>0元≤罚款</w:t>
            </w:r>
            <w:r>
              <w:rPr>
                <w:rFonts w:hint="eastAsia" w:ascii="方正仿宋_GBK" w:hAnsi="方正仿宋_GBK" w:eastAsia="方正仿宋_GBK" w:cs="方正仿宋_GBK"/>
                <w:color w:val="auto"/>
                <w:sz w:val="28"/>
                <w:szCs w:val="28"/>
              </w:rPr>
              <w:t>&lt;</w:t>
            </w:r>
            <w:r>
              <w:rPr>
                <w:rFonts w:hint="eastAsia" w:ascii="方正仿宋_GBK" w:hAnsi="方正仿宋_GBK" w:eastAsia="方正仿宋_GBK" w:cs="方正仿宋_GBK"/>
                <w:color w:val="auto"/>
                <w:sz w:val="28"/>
                <w:szCs w:val="28"/>
                <w:lang w:val="en-US" w:eastAsia="zh-CN"/>
                <w14:ligatures w14:val="standardContextual"/>
              </w:rPr>
              <w:t>29</w:t>
            </w:r>
            <w:r>
              <w:rPr>
                <w:rFonts w:hint="eastAsia" w:ascii="方正仿宋_GBK" w:hAnsi="方正仿宋_GBK" w:eastAsia="方正仿宋_GBK" w:cs="方正仿宋_GBK"/>
                <w:color w:val="auto"/>
                <w:sz w:val="28"/>
                <w:szCs w:val="28"/>
                <w14:ligatures w14:val="standardContextual"/>
              </w:rPr>
              <w:t>元</w:t>
            </w:r>
          </w:p>
        </w:tc>
      </w:tr>
      <w:tr w14:paraId="0D4B2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462" w:type="dxa"/>
            <w:vAlign w:val="center"/>
          </w:tcPr>
          <w:p w14:paraId="30296B89">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rPr>
              <w:t>情节较重</w:t>
            </w:r>
          </w:p>
        </w:tc>
        <w:tc>
          <w:tcPr>
            <w:tcW w:w="4578" w:type="dxa"/>
            <w:vAlign w:val="center"/>
          </w:tcPr>
          <w:p w14:paraId="43DDC08B">
            <w:pPr>
              <w:keepNext w:val="0"/>
              <w:keepLines w:val="0"/>
              <w:pageBreakBefore w:val="0"/>
              <w:widowControl w:val="0"/>
              <w:kinsoku/>
              <w:wordWrap/>
              <w:overflowPunct/>
              <w:topLinePunct w:val="0"/>
              <w:autoSpaceDE w:val="0"/>
              <w:autoSpaceDN/>
              <w:bidi w:val="0"/>
              <w:adjustRightInd/>
              <w:snapToGrid/>
              <w:spacing w:line="400" w:lineRule="exact"/>
              <w:jc w:val="left"/>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rPr>
              <w:t>在禁止吸烟场所内吸烟，经劝阻后仍不停止吸烟行为的</w:t>
            </w:r>
          </w:p>
        </w:tc>
        <w:tc>
          <w:tcPr>
            <w:tcW w:w="3020" w:type="dxa"/>
            <w:vAlign w:val="center"/>
          </w:tcPr>
          <w:p w14:paraId="55E526C4">
            <w:pPr>
              <w:keepNext w:val="0"/>
              <w:keepLines w:val="0"/>
              <w:pageBreakBefore w:val="0"/>
              <w:widowControl w:val="0"/>
              <w:kinsoku/>
              <w:wordWrap/>
              <w:overflowPunct/>
              <w:topLinePunct w:val="0"/>
              <w:autoSpaceDE w:val="0"/>
              <w:autoSpaceDN/>
              <w:bidi w:val="0"/>
              <w:adjustRightInd/>
              <w:snapToGrid/>
              <w:spacing w:line="400" w:lineRule="exact"/>
              <w:jc w:val="center"/>
              <w:textAlignment w:val="auto"/>
              <w:rPr>
                <w:rFonts w:hint="eastAsia" w:ascii="方正仿宋_GBK" w:hAnsi="方正仿宋_GBK" w:eastAsia="方正仿宋_GBK" w:cs="方正仿宋_GBK"/>
                <w:b/>
                <w:bCs w:val="0"/>
                <w:color w:val="auto"/>
                <w:sz w:val="32"/>
                <w:szCs w:val="32"/>
                <w:vertAlign w:val="baseline"/>
                <w:lang w:val="en-US" w:eastAsia="zh-CN"/>
              </w:rPr>
            </w:pPr>
            <w:r>
              <w:rPr>
                <w:rFonts w:hint="eastAsia" w:ascii="方正仿宋_GBK" w:hAnsi="方正仿宋_GBK" w:eastAsia="方正仿宋_GBK" w:cs="方正仿宋_GBK"/>
                <w:color w:val="auto"/>
                <w:sz w:val="28"/>
                <w:szCs w:val="28"/>
                <w:lang w:val="en-US" w:eastAsia="zh-CN"/>
                <w14:ligatures w14:val="standardContextual"/>
              </w:rPr>
              <w:t>29</w:t>
            </w:r>
            <w:r>
              <w:rPr>
                <w:rFonts w:hint="eastAsia" w:ascii="方正仿宋_GBK" w:hAnsi="方正仿宋_GBK" w:eastAsia="方正仿宋_GBK" w:cs="方正仿宋_GBK"/>
                <w:color w:val="auto"/>
                <w:sz w:val="28"/>
                <w:szCs w:val="28"/>
                <w14:ligatures w14:val="standardContextual"/>
              </w:rPr>
              <w:t>元≤罚款≤</w:t>
            </w:r>
            <w:r>
              <w:rPr>
                <w:rFonts w:hint="eastAsia" w:ascii="方正仿宋_GBK" w:hAnsi="方正仿宋_GBK" w:eastAsia="方正仿宋_GBK" w:cs="方正仿宋_GBK"/>
                <w:color w:val="auto"/>
                <w:sz w:val="28"/>
                <w:szCs w:val="28"/>
                <w:lang w:val="en-US" w:eastAsia="zh-CN"/>
                <w14:ligatures w14:val="standardContextual"/>
              </w:rPr>
              <w:t>50</w:t>
            </w:r>
            <w:r>
              <w:rPr>
                <w:rFonts w:hint="eastAsia" w:ascii="方正仿宋_GBK" w:hAnsi="方正仿宋_GBK" w:eastAsia="方正仿宋_GBK" w:cs="方正仿宋_GBK"/>
                <w:color w:val="auto"/>
                <w:sz w:val="28"/>
                <w:szCs w:val="28"/>
                <w14:ligatures w14:val="standardContextual"/>
              </w:rPr>
              <w:t>元</w:t>
            </w:r>
          </w:p>
        </w:tc>
      </w:tr>
    </w:tbl>
    <w:p w14:paraId="366EFE0E">
      <w:pPr>
        <w:spacing w:line="520" w:lineRule="exact"/>
        <w:rPr>
          <w:rFonts w:ascii="方正小标宋_GBK" w:eastAsia="方正小标宋_GBK"/>
          <w:color w:val="auto"/>
          <w:sz w:val="32"/>
          <w:szCs w:val="32"/>
        </w:rPr>
      </w:pPr>
    </w:p>
    <w:p w14:paraId="41747D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案由九：未落实预防控制措施，病媒生物密度超过国家标准范的</w:t>
      </w:r>
    </w:p>
    <w:p w14:paraId="470D0C0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44505E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《江苏省爱国卫生条例》第五十七条 </w:t>
      </w:r>
      <w:r>
        <w:rPr>
          <w:rFonts w:ascii="方正仿宋_GBK" w:hAnsi="方正仿宋_GBK" w:eastAsia="方正仿宋_GBK" w:cs="方正仿宋_GBK"/>
          <w:sz w:val="32"/>
          <w:szCs w:val="32"/>
        </w:rPr>
        <w:t>违反本条例规定，有下列行为之一的，由县级以上人民政府卫生行政部门责令限期改正；逾期不改正的，按下列规定予以处罚：</w:t>
      </w:r>
    </w:p>
    <w:p w14:paraId="26DDCB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（一）违反第四十二条规定，未落实预防控制措施，病媒生物密度超过国家标准范的，处以一千元以上五千元以下的罚款；</w:t>
      </w:r>
    </w:p>
    <w:p w14:paraId="246328F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624"/>
        <w:gridCol w:w="2500"/>
      </w:tblGrid>
      <w:tr w14:paraId="4F15D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44E6523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624" w:type="dxa"/>
          </w:tcPr>
          <w:p w14:paraId="5CB39CF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500" w:type="dxa"/>
          </w:tcPr>
          <w:p w14:paraId="1E039B9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3675A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0D07D0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情节较轻</w:t>
            </w:r>
          </w:p>
        </w:tc>
        <w:tc>
          <w:tcPr>
            <w:tcW w:w="4624" w:type="dxa"/>
            <w:vAlign w:val="center"/>
          </w:tcPr>
          <w:p w14:paraId="43AFB6EB">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部分</w:t>
            </w:r>
            <w:r>
              <w:rPr>
                <w:rFonts w:hint="eastAsia" w:ascii="方正仿宋_GBK" w:hAnsi="方正仿宋_GBK" w:eastAsia="方正仿宋_GBK" w:cs="方正仿宋_GBK"/>
                <w:color w:val="auto"/>
                <w:sz w:val="28"/>
                <w:szCs w:val="28"/>
                <w:lang w:val="en-US" w:eastAsia="zh-CN"/>
              </w:rPr>
              <w:t>预防控制</w:t>
            </w:r>
            <w:r>
              <w:rPr>
                <w:rFonts w:hint="eastAsia" w:ascii="方正仿宋_GBK" w:hAnsi="方正仿宋_GBK" w:eastAsia="方正仿宋_GBK" w:cs="方正仿宋_GBK"/>
                <w:color w:val="auto"/>
                <w:sz w:val="28"/>
                <w:szCs w:val="28"/>
              </w:rPr>
              <w:t>措施未落实或一种病媒生物密度超过国家标准的，且经责令限期改正后逾期不改正的</w:t>
            </w:r>
          </w:p>
        </w:tc>
        <w:tc>
          <w:tcPr>
            <w:tcW w:w="2500" w:type="dxa"/>
            <w:vAlign w:val="center"/>
          </w:tcPr>
          <w:p w14:paraId="25856F5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14:ligatures w14:val="standardContextual"/>
              </w:rPr>
              <w:t>1000元≤罚款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22</w:t>
            </w:r>
            <w:r>
              <w:rPr>
                <w:rFonts w:hint="eastAsia" w:ascii="方正仿宋_GBK" w:hAnsi="方正仿宋_GBK" w:eastAsia="方正仿宋_GBK" w:cs="方正仿宋_GBK"/>
                <w:sz w:val="28"/>
                <w:szCs w:val="28"/>
                <w14:ligatures w14:val="standardContextual"/>
              </w:rPr>
              <w:t>00元</w:t>
            </w:r>
          </w:p>
        </w:tc>
      </w:tr>
      <w:tr w14:paraId="421F6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0C086CD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情节一般</w:t>
            </w:r>
          </w:p>
        </w:tc>
        <w:tc>
          <w:tcPr>
            <w:tcW w:w="4624" w:type="dxa"/>
            <w:vAlign w:val="center"/>
          </w:tcPr>
          <w:p w14:paraId="03149398">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预防控制措施</w:t>
            </w:r>
            <w:r>
              <w:rPr>
                <w:rFonts w:hint="eastAsia" w:ascii="方正仿宋_GBK" w:hAnsi="方正仿宋_GBK" w:eastAsia="方正仿宋_GBK" w:cs="方正仿宋_GBK"/>
                <w:color w:val="auto"/>
                <w:sz w:val="28"/>
                <w:szCs w:val="28"/>
                <w:lang w:val="en-US" w:eastAsia="zh-CN"/>
              </w:rPr>
              <w:t>均</w:t>
            </w:r>
            <w:r>
              <w:rPr>
                <w:rFonts w:hint="eastAsia" w:ascii="方正仿宋_GBK" w:hAnsi="方正仿宋_GBK" w:eastAsia="方正仿宋_GBK" w:cs="方正仿宋_GBK"/>
                <w:color w:val="auto"/>
                <w:sz w:val="28"/>
                <w:szCs w:val="28"/>
              </w:rPr>
              <w:t>未落实或两种病媒生物密度超过国家标准的，且经责令限期改正后逾期不改正的</w:t>
            </w:r>
          </w:p>
        </w:tc>
        <w:tc>
          <w:tcPr>
            <w:tcW w:w="2500" w:type="dxa"/>
            <w:vAlign w:val="center"/>
          </w:tcPr>
          <w:p w14:paraId="6C8B834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22</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38</w:t>
            </w:r>
            <w:r>
              <w:rPr>
                <w:rFonts w:hint="eastAsia" w:ascii="方正仿宋_GBK" w:hAnsi="方正仿宋_GBK" w:eastAsia="方正仿宋_GBK" w:cs="方正仿宋_GBK"/>
                <w:sz w:val="28"/>
                <w:szCs w:val="28"/>
                <w14:ligatures w14:val="standardContextual"/>
              </w:rPr>
              <w:t>00元</w:t>
            </w:r>
          </w:p>
        </w:tc>
      </w:tr>
      <w:tr w14:paraId="5533D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4C2D3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情节较重</w:t>
            </w:r>
          </w:p>
        </w:tc>
        <w:tc>
          <w:tcPr>
            <w:tcW w:w="4624" w:type="dxa"/>
            <w:vAlign w:val="center"/>
          </w:tcPr>
          <w:p w14:paraId="04CC173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三种</w:t>
            </w:r>
            <w:r>
              <w:rPr>
                <w:rFonts w:hint="eastAsia" w:ascii="方正仿宋_GBK" w:hAnsi="方正仿宋_GBK" w:eastAsia="方正仿宋_GBK" w:cs="方正仿宋_GBK"/>
                <w:color w:val="auto"/>
                <w:sz w:val="28"/>
                <w:szCs w:val="28"/>
                <w:lang w:val="en-US" w:eastAsia="zh-CN"/>
              </w:rPr>
              <w:t>以上</w:t>
            </w:r>
            <w:r>
              <w:rPr>
                <w:rFonts w:hint="eastAsia" w:ascii="方正仿宋_GBK" w:hAnsi="方正仿宋_GBK" w:eastAsia="方正仿宋_GBK" w:cs="方正仿宋_GBK"/>
                <w:color w:val="auto"/>
                <w:sz w:val="28"/>
                <w:szCs w:val="28"/>
              </w:rPr>
              <w:t>病媒生物密度超过国家标准的，且经责令限期改正后逾期不改正的</w:t>
            </w:r>
          </w:p>
        </w:tc>
        <w:tc>
          <w:tcPr>
            <w:tcW w:w="2500" w:type="dxa"/>
            <w:vAlign w:val="center"/>
          </w:tcPr>
          <w:p w14:paraId="796F8F5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38</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5000</w:t>
            </w:r>
            <w:r>
              <w:rPr>
                <w:rFonts w:hint="eastAsia" w:ascii="方正仿宋_GBK" w:hAnsi="方正仿宋_GBK" w:eastAsia="方正仿宋_GBK" w:cs="方正仿宋_GBK"/>
                <w:sz w:val="28"/>
                <w:szCs w:val="28"/>
                <w14:ligatures w14:val="standardContextual"/>
              </w:rPr>
              <w:t>元</w:t>
            </w:r>
          </w:p>
        </w:tc>
      </w:tr>
    </w:tbl>
    <w:p w14:paraId="1473CBBA">
      <w:pPr>
        <w:spacing w:line="520" w:lineRule="exact"/>
        <w:rPr>
          <w:rFonts w:ascii="方正小标宋_GBK" w:eastAsia="方正小标宋_GBK"/>
          <w:sz w:val="32"/>
          <w:szCs w:val="32"/>
        </w:rPr>
      </w:pPr>
    </w:p>
    <w:p w14:paraId="4CE341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案由十：人员聚集场所、易孳生病媒生物场所未建立健全病媒生物预防控制制度，未设置病媒生物预防控制设施，或者未落实专人负责病媒生物预防控制工作的</w:t>
      </w:r>
    </w:p>
    <w:p w14:paraId="141789F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17E8AA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《江苏省爱国卫生条例》第五十七条 </w:t>
      </w:r>
      <w:r>
        <w:rPr>
          <w:rFonts w:ascii="方正仿宋_GBK" w:hAnsi="方正仿宋_GBK" w:eastAsia="方正仿宋_GBK" w:cs="方正仿宋_GBK"/>
          <w:sz w:val="32"/>
          <w:szCs w:val="32"/>
        </w:rPr>
        <w:t>违反本条例规定，有下列行为之一的，由县级以上人民政府卫生行政部门责令限期改正；逾期不改正的，按下列规定予以处罚：</w:t>
      </w:r>
    </w:p>
    <w:p w14:paraId="12088E9B">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firstLine="64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违反第四十四条规定，人员聚集场所、易孳生病媒生物场所未建立健全病媒生物预防控制制度，未设置病媒生物预防控制设施，或者未落实专人负责病媒生物预防控制工作的，处以三千元以上一万元以下的罚款；</w:t>
      </w:r>
    </w:p>
    <w:p w14:paraId="0620266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884"/>
        <w:gridCol w:w="2300"/>
      </w:tblGrid>
      <w:tr w14:paraId="7FD8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0C8B17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裁量阶次</w:t>
            </w:r>
          </w:p>
        </w:tc>
        <w:tc>
          <w:tcPr>
            <w:tcW w:w="4884" w:type="dxa"/>
          </w:tcPr>
          <w:p w14:paraId="5499D35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适用条件</w:t>
            </w:r>
          </w:p>
        </w:tc>
        <w:tc>
          <w:tcPr>
            <w:tcW w:w="2300" w:type="dxa"/>
          </w:tcPr>
          <w:p w14:paraId="29C039A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val="0"/>
                <w:sz w:val="28"/>
                <w:szCs w:val="28"/>
              </w:rPr>
            </w:pPr>
            <w:r>
              <w:rPr>
                <w:rFonts w:hint="eastAsia" w:ascii="方正楷体_GBK" w:hAnsi="方正楷体_GBK" w:eastAsia="方正楷体_GBK" w:cs="方正楷体_GBK"/>
                <w:b w:val="0"/>
                <w:bCs w:val="0"/>
                <w:sz w:val="28"/>
                <w:szCs w:val="28"/>
              </w:rPr>
              <w:t>具体标准</w:t>
            </w:r>
          </w:p>
        </w:tc>
      </w:tr>
      <w:tr w14:paraId="68781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144B27D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884" w:type="dxa"/>
            <w:vAlign w:val="center"/>
          </w:tcPr>
          <w:p w14:paraId="4EDDBD8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人员聚集场所、易孳生病媒生物场所具有①未建立健全病媒生物预防控制制度②未设置病媒生物预防控制设施③未落实专人负责病媒生物预防控制工作，其中一种情形,且经责令限期改正后逾期不改正的</w:t>
            </w:r>
          </w:p>
        </w:tc>
        <w:tc>
          <w:tcPr>
            <w:tcW w:w="2300" w:type="dxa"/>
            <w:vAlign w:val="center"/>
          </w:tcPr>
          <w:p w14:paraId="6956033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3</w:t>
            </w:r>
            <w:r>
              <w:rPr>
                <w:rFonts w:hint="eastAsia" w:ascii="方正仿宋_GBK" w:hAnsi="方正仿宋_GBK" w:eastAsia="方正仿宋_GBK" w:cs="方正仿宋_GBK"/>
                <w:sz w:val="28"/>
                <w:szCs w:val="28"/>
                <w14:ligatures w14:val="standardContextual"/>
              </w:rPr>
              <w:t>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51</w:t>
            </w:r>
            <w:r>
              <w:rPr>
                <w:rFonts w:hint="eastAsia" w:ascii="方正仿宋_GBK" w:hAnsi="方正仿宋_GBK" w:eastAsia="方正仿宋_GBK" w:cs="方正仿宋_GBK"/>
                <w:sz w:val="28"/>
                <w:szCs w:val="28"/>
                <w14:ligatures w14:val="standardContextual"/>
              </w:rPr>
              <w:t>00元</w:t>
            </w:r>
          </w:p>
        </w:tc>
      </w:tr>
      <w:tr w14:paraId="05AF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2CAD0D4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884" w:type="dxa"/>
            <w:vAlign w:val="center"/>
          </w:tcPr>
          <w:p w14:paraId="5A1F194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人员聚集场所、易孳生病媒生物场所具有①未建立健全病媒生物预防控制制度②未设置病媒生物预防控制设施③未落实专人负责病媒生物预防控制工作，其中两种情形,且经责令限期改正后逾期不改正的</w:t>
            </w:r>
          </w:p>
        </w:tc>
        <w:tc>
          <w:tcPr>
            <w:tcW w:w="2300" w:type="dxa"/>
            <w:vAlign w:val="center"/>
          </w:tcPr>
          <w:p w14:paraId="1A4F508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51</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79</w:t>
            </w:r>
            <w:r>
              <w:rPr>
                <w:rFonts w:hint="eastAsia" w:ascii="方正仿宋_GBK" w:hAnsi="方正仿宋_GBK" w:eastAsia="方正仿宋_GBK" w:cs="方正仿宋_GBK"/>
                <w:sz w:val="28"/>
                <w:szCs w:val="28"/>
                <w14:ligatures w14:val="standardContextual"/>
              </w:rPr>
              <w:t>00元</w:t>
            </w:r>
          </w:p>
        </w:tc>
      </w:tr>
      <w:tr w14:paraId="7510E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7E5DED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884" w:type="dxa"/>
            <w:vAlign w:val="center"/>
          </w:tcPr>
          <w:p w14:paraId="0C7296E0">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人员聚集场所、易孳生病媒生物场所具有①未建立健全病媒生物预防控制制度②未设置病媒生物预防控制设施③未落实专人负责病媒生物预防控制工作，其中三种情形,且经责令限期改正后逾期不改正的</w:t>
            </w:r>
          </w:p>
        </w:tc>
        <w:tc>
          <w:tcPr>
            <w:tcW w:w="2300" w:type="dxa"/>
            <w:vAlign w:val="center"/>
          </w:tcPr>
          <w:p w14:paraId="4F1CBDF0">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79</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4110DDBB">
      <w:pPr>
        <w:spacing w:line="520" w:lineRule="exact"/>
        <w:ind w:firstLine="640" w:firstLineChars="200"/>
        <w:rPr>
          <w:rFonts w:ascii="方正小标宋_GBK" w:eastAsia="方正小标宋_GBK"/>
          <w:sz w:val="32"/>
          <w:szCs w:val="32"/>
        </w:rPr>
      </w:pPr>
    </w:p>
    <w:p w14:paraId="7FEA8B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案由十一：从事病媒生物预防控制服务的单位开展病媒生物预防控制，不符合规定技术标准和操作规程，未达到预防控制效果的</w:t>
      </w:r>
    </w:p>
    <w:p w14:paraId="1428AEE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0AA09E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《江苏省爱国卫生条例》第五十七条 </w:t>
      </w:r>
      <w:r>
        <w:rPr>
          <w:rFonts w:ascii="方正仿宋_GBK" w:hAnsi="方正仿宋_GBK" w:eastAsia="方正仿宋_GBK" w:cs="方正仿宋_GBK"/>
          <w:sz w:val="32"/>
          <w:szCs w:val="32"/>
        </w:rPr>
        <w:t>违反本条例规定，有下列行为之一的，由县级以上人民政府卫生行政部门责令限期改正；逾期不改正的，按下列规定予以处罚：</w:t>
      </w:r>
    </w:p>
    <w:p w14:paraId="6A517172">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firstLine="64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违反第四十五条、第四十六条规定，从事病媒生物预防控制服务的单位开展病媒生物预防控制，不符合规定技术标准和操作规程，未达到预防控制效果的，处以二千元以上一万元以下的罚款；</w:t>
      </w:r>
    </w:p>
    <w:p w14:paraId="2682875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楷体_GBK" w:hAnsi="方正楷体_GBK" w:eastAsia="方正楷体_GBK" w:cs="方正楷体_GBK"/>
          <w:b w:val="0"/>
          <w:bCs/>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684"/>
        <w:gridCol w:w="2540"/>
      </w:tblGrid>
      <w:tr w14:paraId="54EB9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6735850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sz w:val="28"/>
                <w:szCs w:val="28"/>
              </w:rPr>
            </w:pPr>
            <w:r>
              <w:rPr>
                <w:rFonts w:hint="eastAsia" w:ascii="方正楷体_GBK" w:hAnsi="方正楷体_GBK" w:eastAsia="方正楷体_GBK" w:cs="方正楷体_GBK"/>
                <w:b w:val="0"/>
                <w:bCs/>
                <w:sz w:val="28"/>
                <w:szCs w:val="28"/>
              </w:rPr>
              <w:t>裁量阶次</w:t>
            </w:r>
          </w:p>
        </w:tc>
        <w:tc>
          <w:tcPr>
            <w:tcW w:w="4684" w:type="dxa"/>
          </w:tcPr>
          <w:p w14:paraId="6ED76F2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sz w:val="28"/>
                <w:szCs w:val="28"/>
              </w:rPr>
            </w:pPr>
            <w:r>
              <w:rPr>
                <w:rFonts w:hint="eastAsia" w:ascii="方正楷体_GBK" w:hAnsi="方正楷体_GBK" w:eastAsia="方正楷体_GBK" w:cs="方正楷体_GBK"/>
                <w:b w:val="0"/>
                <w:bCs/>
                <w:sz w:val="28"/>
                <w:szCs w:val="28"/>
              </w:rPr>
              <w:t>适用条件</w:t>
            </w:r>
          </w:p>
        </w:tc>
        <w:tc>
          <w:tcPr>
            <w:tcW w:w="2540" w:type="dxa"/>
          </w:tcPr>
          <w:p w14:paraId="7939BC5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楷体_GBK" w:hAnsi="方正楷体_GBK" w:eastAsia="方正楷体_GBK" w:cs="方正楷体_GBK"/>
                <w:b w:val="0"/>
                <w:bCs/>
                <w:sz w:val="28"/>
                <w:szCs w:val="28"/>
              </w:rPr>
            </w:pPr>
            <w:r>
              <w:rPr>
                <w:rFonts w:hint="eastAsia" w:ascii="方正楷体_GBK" w:hAnsi="方正楷体_GBK" w:eastAsia="方正楷体_GBK" w:cs="方正楷体_GBK"/>
                <w:b w:val="0"/>
                <w:bCs/>
                <w:sz w:val="28"/>
                <w:szCs w:val="28"/>
              </w:rPr>
              <w:t>具体标准</w:t>
            </w:r>
          </w:p>
        </w:tc>
      </w:tr>
      <w:tr w14:paraId="192B8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614DC90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684" w:type="dxa"/>
            <w:vAlign w:val="center"/>
          </w:tcPr>
          <w:p w14:paraId="73F139B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从事病媒生物预防控制服务的单位开展病媒生物预防控制，存在一处不符合规定技术标准和操作规程，未达到预防控制效果，且经责令限期改正后逾期不改正的</w:t>
            </w:r>
          </w:p>
        </w:tc>
        <w:tc>
          <w:tcPr>
            <w:tcW w:w="2540" w:type="dxa"/>
            <w:vAlign w:val="center"/>
          </w:tcPr>
          <w:p w14:paraId="501DC733">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44</w:t>
            </w:r>
            <w:r>
              <w:rPr>
                <w:rFonts w:hint="eastAsia" w:ascii="方正仿宋_GBK" w:hAnsi="方正仿宋_GBK" w:eastAsia="方正仿宋_GBK" w:cs="方正仿宋_GBK"/>
                <w:sz w:val="28"/>
                <w:szCs w:val="28"/>
                <w14:ligatures w14:val="standardContextual"/>
              </w:rPr>
              <w:t>00元</w:t>
            </w:r>
          </w:p>
        </w:tc>
      </w:tr>
      <w:tr w14:paraId="6638D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59EC3C2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684" w:type="dxa"/>
            <w:vAlign w:val="center"/>
          </w:tcPr>
          <w:p w14:paraId="5A0F34AD">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从事病媒生物预防控制服务的单位开展病媒生物预防控制，存在两处不符合规定技术标准和操作规程，未达到预防控制效果，且经责令限期改正后逾期不改正的</w:t>
            </w:r>
          </w:p>
        </w:tc>
        <w:tc>
          <w:tcPr>
            <w:tcW w:w="2540" w:type="dxa"/>
            <w:vAlign w:val="center"/>
          </w:tcPr>
          <w:p w14:paraId="1A529D5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44</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76</w:t>
            </w:r>
            <w:r>
              <w:rPr>
                <w:rFonts w:hint="eastAsia" w:ascii="方正仿宋_GBK" w:hAnsi="方正仿宋_GBK" w:eastAsia="方正仿宋_GBK" w:cs="方正仿宋_GBK"/>
                <w:sz w:val="28"/>
                <w:szCs w:val="28"/>
                <w14:ligatures w14:val="standardContextual"/>
              </w:rPr>
              <w:t>00元</w:t>
            </w:r>
          </w:p>
        </w:tc>
      </w:tr>
      <w:tr w14:paraId="4BFAE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4D7DE63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684" w:type="dxa"/>
            <w:vAlign w:val="center"/>
          </w:tcPr>
          <w:p w14:paraId="2E27EEB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从事病媒生物预防控制服务的单位开展病媒生物预防控制，存在三处及以上不符合规定技术标准和操作规程，未达到预防控制效果，且经责令限期改正后逾期不改正的</w:t>
            </w:r>
          </w:p>
        </w:tc>
        <w:tc>
          <w:tcPr>
            <w:tcW w:w="2540" w:type="dxa"/>
            <w:vAlign w:val="center"/>
          </w:tcPr>
          <w:p w14:paraId="69831D7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76</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10000</w:t>
            </w:r>
            <w:r>
              <w:rPr>
                <w:rFonts w:hint="eastAsia" w:ascii="方正仿宋_GBK" w:hAnsi="方正仿宋_GBK" w:eastAsia="方正仿宋_GBK" w:cs="方正仿宋_GBK"/>
                <w:sz w:val="28"/>
                <w:szCs w:val="28"/>
                <w14:ligatures w14:val="standardContextual"/>
              </w:rPr>
              <w:t>元</w:t>
            </w:r>
          </w:p>
        </w:tc>
      </w:tr>
    </w:tbl>
    <w:p w14:paraId="3D731F35">
      <w:pPr>
        <w:spacing w:line="520" w:lineRule="exact"/>
        <w:ind w:firstLine="640" w:firstLineChars="200"/>
        <w:rPr>
          <w:rFonts w:ascii="方正小标宋_GBK" w:eastAsia="方正小标宋_GBK"/>
          <w:sz w:val="32"/>
          <w:szCs w:val="32"/>
        </w:rPr>
      </w:pPr>
    </w:p>
    <w:p w14:paraId="22D7B3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案由十二：从事病媒生物预防控制服务的单位聘用不合格的人员从事病媒生物预防控制作业的</w:t>
      </w:r>
    </w:p>
    <w:p w14:paraId="45BC3C0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一、处罚依据</w:t>
      </w:r>
    </w:p>
    <w:p w14:paraId="1FE5F9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《江苏省爱国卫生条例》第五十七条 </w:t>
      </w:r>
      <w:r>
        <w:rPr>
          <w:rFonts w:ascii="方正仿宋_GBK" w:hAnsi="方正仿宋_GBK" w:eastAsia="方正仿宋_GBK" w:cs="方正仿宋_GBK"/>
          <w:sz w:val="32"/>
          <w:szCs w:val="32"/>
        </w:rPr>
        <w:t>违反本条例规定，有下列行为之一的，由县级以上人民政府卫生行政部门责令限期改正；逾期不改正的，按下列规定予以处罚：</w:t>
      </w:r>
    </w:p>
    <w:p w14:paraId="3DA66F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_GBK" w:hAnsi="方正仿宋_GBK" w:eastAsia="方正仿宋_GBK" w:cs="方正仿宋_GBK"/>
          <w:sz w:val="32"/>
          <w:szCs w:val="32"/>
        </w:rPr>
      </w:pPr>
      <w:r>
        <w:rPr>
          <w:rFonts w:ascii="方正仿宋_GBK" w:hAnsi="方正仿宋_GBK" w:eastAsia="方正仿宋_GBK" w:cs="方正仿宋_GBK"/>
          <w:sz w:val="32"/>
          <w:szCs w:val="32"/>
        </w:rPr>
        <w:t>（四）违反第四十七条第二款规定，从事病媒生物预防控制服务的单位聘用不合格的人员从事病媒生物预防控制作业的，处以二千元以上二万元以下的罚款。</w:t>
      </w:r>
    </w:p>
    <w:p w14:paraId="6525551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方正仿宋_GBK" w:hAnsi="方正仿宋_GBK" w:eastAsia="方正仿宋_GBK" w:cs="方正仿宋_GBK"/>
          <w:b/>
          <w:bCs w:val="0"/>
          <w:color w:val="auto"/>
          <w:sz w:val="32"/>
          <w:szCs w:val="32"/>
          <w:lang w:val="en-US" w:eastAsia="zh-CN"/>
        </w:rPr>
      </w:pPr>
      <w:r>
        <w:rPr>
          <w:rFonts w:hint="eastAsia" w:ascii="方正仿宋_GBK" w:hAnsi="方正仿宋_GBK" w:eastAsia="方正仿宋_GBK" w:cs="方正仿宋_GBK"/>
          <w:b/>
          <w:bCs w:val="0"/>
          <w:color w:val="auto"/>
          <w:sz w:val="32"/>
          <w:szCs w:val="32"/>
          <w:lang w:val="en-US" w:eastAsia="zh-CN"/>
        </w:rPr>
        <w:t>二、裁量权基准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1"/>
        <w:gridCol w:w="4784"/>
        <w:gridCol w:w="2430"/>
      </w:tblGrid>
      <w:tr w14:paraId="6E9AA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tcPr>
          <w:p w14:paraId="68BF7311">
            <w:pPr>
              <w:spacing w:line="520" w:lineRule="exact"/>
              <w:jc w:val="center"/>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裁量阶次</w:t>
            </w:r>
          </w:p>
        </w:tc>
        <w:tc>
          <w:tcPr>
            <w:tcW w:w="4784" w:type="dxa"/>
          </w:tcPr>
          <w:p w14:paraId="7DC6090D">
            <w:pPr>
              <w:spacing w:line="520" w:lineRule="exact"/>
              <w:jc w:val="center"/>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适用条件</w:t>
            </w:r>
          </w:p>
        </w:tc>
        <w:tc>
          <w:tcPr>
            <w:tcW w:w="2430" w:type="dxa"/>
          </w:tcPr>
          <w:p w14:paraId="60EE27AA">
            <w:pPr>
              <w:spacing w:line="520" w:lineRule="exact"/>
              <w:jc w:val="center"/>
              <w:rPr>
                <w:rFonts w:hint="eastAsia" w:ascii="方正楷体_GBK" w:hAnsi="方正楷体_GBK" w:eastAsia="方正楷体_GBK" w:cs="方正楷体_GBK"/>
                <w:sz w:val="28"/>
                <w:szCs w:val="28"/>
              </w:rPr>
            </w:pPr>
            <w:r>
              <w:rPr>
                <w:rFonts w:hint="eastAsia" w:ascii="方正楷体_GBK" w:hAnsi="方正楷体_GBK" w:eastAsia="方正楷体_GBK" w:cs="方正楷体_GBK"/>
                <w:sz w:val="28"/>
                <w:szCs w:val="28"/>
              </w:rPr>
              <w:t>具体标准</w:t>
            </w:r>
          </w:p>
        </w:tc>
      </w:tr>
      <w:tr w14:paraId="43DE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3AEFE3A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情节较轻</w:t>
            </w:r>
          </w:p>
        </w:tc>
        <w:tc>
          <w:tcPr>
            <w:tcW w:w="4784" w:type="dxa"/>
            <w:vAlign w:val="center"/>
          </w:tcPr>
          <w:p w14:paraId="05A35A8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从事病媒生物预防控制服务的单位聘用三名及以下不合格的人员从事病媒生物预防控制作业，且经责令限期改正后逾期不改正的</w:t>
            </w:r>
          </w:p>
        </w:tc>
        <w:tc>
          <w:tcPr>
            <w:tcW w:w="2430" w:type="dxa"/>
            <w:vAlign w:val="center"/>
          </w:tcPr>
          <w:p w14:paraId="77B12BD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2</w:t>
            </w:r>
            <w:r>
              <w:rPr>
                <w:rFonts w:hint="eastAsia" w:ascii="方正仿宋_GBK" w:hAnsi="方正仿宋_GBK" w:eastAsia="方正仿宋_GBK" w:cs="方正仿宋_GBK"/>
                <w:sz w:val="28"/>
                <w:szCs w:val="28"/>
                <w14:ligatures w14:val="standardContextual"/>
              </w:rPr>
              <w:t>000元≤罚款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74</w:t>
            </w:r>
            <w:r>
              <w:rPr>
                <w:rFonts w:hint="eastAsia" w:ascii="方正仿宋_GBK" w:hAnsi="方正仿宋_GBK" w:eastAsia="方正仿宋_GBK" w:cs="方正仿宋_GBK"/>
                <w:sz w:val="28"/>
                <w:szCs w:val="28"/>
                <w14:ligatures w14:val="standardContextual"/>
              </w:rPr>
              <w:t>00元</w:t>
            </w:r>
          </w:p>
        </w:tc>
      </w:tr>
      <w:tr w14:paraId="35BA2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0B0552A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情节一般</w:t>
            </w:r>
          </w:p>
        </w:tc>
        <w:tc>
          <w:tcPr>
            <w:tcW w:w="4784" w:type="dxa"/>
            <w:vAlign w:val="center"/>
          </w:tcPr>
          <w:p w14:paraId="2A110704">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从事病媒生物预防控制服务的单位聘用四至六名不合格的人员从事病媒生物预防控制作业，且经责令限期改正后逾期不改正的</w:t>
            </w:r>
          </w:p>
        </w:tc>
        <w:tc>
          <w:tcPr>
            <w:tcW w:w="2430" w:type="dxa"/>
            <w:vAlign w:val="center"/>
          </w:tcPr>
          <w:p w14:paraId="3EF13B2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74</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rPr>
              <w:t>&lt;</w:t>
            </w:r>
            <w:r>
              <w:rPr>
                <w:rFonts w:hint="eastAsia" w:ascii="方正仿宋_GBK" w:hAnsi="方正仿宋_GBK" w:eastAsia="方正仿宋_GBK" w:cs="方正仿宋_GBK"/>
                <w:sz w:val="28"/>
                <w:szCs w:val="28"/>
                <w:lang w:val="en-US" w:eastAsia="zh-CN"/>
                <w14:ligatures w14:val="standardContextual"/>
              </w:rPr>
              <w:t>146</w:t>
            </w:r>
            <w:r>
              <w:rPr>
                <w:rFonts w:hint="eastAsia" w:ascii="方正仿宋_GBK" w:hAnsi="方正仿宋_GBK" w:eastAsia="方正仿宋_GBK" w:cs="方正仿宋_GBK"/>
                <w:sz w:val="28"/>
                <w:szCs w:val="28"/>
                <w14:ligatures w14:val="standardContextual"/>
              </w:rPr>
              <w:t>00元</w:t>
            </w:r>
          </w:p>
        </w:tc>
      </w:tr>
      <w:tr w14:paraId="5D1CC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1" w:type="dxa"/>
            <w:vAlign w:val="center"/>
          </w:tcPr>
          <w:p w14:paraId="7E42561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情节较重</w:t>
            </w:r>
          </w:p>
        </w:tc>
        <w:tc>
          <w:tcPr>
            <w:tcW w:w="4784" w:type="dxa"/>
            <w:vAlign w:val="center"/>
          </w:tcPr>
          <w:p w14:paraId="1109E67B">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从事病媒生物预防控制服务的单位聘用七名及以上不合格的人员从事病媒生物预防控制作业，且经责令限期改正后逾期不改正的</w:t>
            </w:r>
          </w:p>
        </w:tc>
        <w:tc>
          <w:tcPr>
            <w:tcW w:w="2430" w:type="dxa"/>
            <w:vAlign w:val="center"/>
          </w:tcPr>
          <w:p w14:paraId="48259315">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14:ligatures w14:val="standardContextual"/>
              </w:rPr>
              <w:t>146</w:t>
            </w:r>
            <w:r>
              <w:rPr>
                <w:rFonts w:hint="eastAsia" w:ascii="方正仿宋_GBK" w:hAnsi="方正仿宋_GBK" w:eastAsia="方正仿宋_GBK" w:cs="方正仿宋_GBK"/>
                <w:sz w:val="28"/>
                <w:szCs w:val="28"/>
                <w14:ligatures w14:val="standardContextual"/>
              </w:rPr>
              <w:t>00元≤罚款≤</w:t>
            </w:r>
            <w:r>
              <w:rPr>
                <w:rFonts w:hint="eastAsia" w:ascii="方正仿宋_GBK" w:hAnsi="方正仿宋_GBK" w:eastAsia="方正仿宋_GBK" w:cs="方正仿宋_GBK"/>
                <w:sz w:val="28"/>
                <w:szCs w:val="28"/>
                <w:lang w:val="en-US" w:eastAsia="zh-CN"/>
                <w14:ligatures w14:val="standardContextual"/>
              </w:rPr>
              <w:t>20000</w:t>
            </w:r>
            <w:r>
              <w:rPr>
                <w:rFonts w:hint="eastAsia" w:ascii="方正仿宋_GBK" w:hAnsi="方正仿宋_GBK" w:eastAsia="方正仿宋_GBK" w:cs="方正仿宋_GBK"/>
                <w:sz w:val="28"/>
                <w:szCs w:val="28"/>
                <w14:ligatures w14:val="standardContextual"/>
              </w:rPr>
              <w:t>元</w:t>
            </w:r>
          </w:p>
        </w:tc>
      </w:tr>
    </w:tbl>
    <w:p w14:paraId="5CEED791">
      <w:pPr>
        <w:pStyle w:val="2"/>
        <w:spacing w:line="560" w:lineRule="exact"/>
        <w:jc w:val="both"/>
        <w:rPr>
          <w:rFonts w:ascii="Times New Roman" w:hAnsi="Times New Roman" w:eastAsia="方正仿宋_GBK" w:cs="方正仿宋_GBK"/>
          <w:color w:val="FF0000"/>
          <w:sz w:val="32"/>
          <w:szCs w:val="32"/>
          <w:lang w:val="en-US"/>
        </w:rPr>
      </w:pPr>
    </w:p>
    <w:sectPr>
      <w:footerReference r:id="rId3" w:type="default"/>
      <w:pgSz w:w="11906" w:h="16838"/>
      <w:pgMar w:top="2154"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B65006-227B-4661-BF3C-D3BEB4948D1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F150FF1E-CA55-4D2F-A915-D6A517BA5419}"/>
  </w:font>
  <w:font w:name="仿宋">
    <w:panose1 w:val="02010609060101010101"/>
    <w:charset w:val="86"/>
    <w:family w:val="modern"/>
    <w:pitch w:val="default"/>
    <w:sig w:usb0="800002BF" w:usb1="38CF7CFA" w:usb2="00000016" w:usb3="00000000" w:csb0="00040001" w:csb1="00000000"/>
    <w:embedRegular r:id="rId3" w:fontKey="{8DC602A6-EC96-44E5-B38D-EB57CD459953}"/>
  </w:font>
  <w:font w:name="Calibri Light">
    <w:panose1 w:val="020F03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script"/>
    <w:pitch w:val="default"/>
    <w:sig w:usb0="00000001" w:usb1="080E0000" w:usb2="00000000" w:usb3="00000000" w:csb0="00040000" w:csb1="00000000"/>
    <w:embedRegular r:id="rId4" w:fontKey="{5B65DE91-81E7-4592-AEDE-49A188552CCB}"/>
  </w:font>
  <w:font w:name="方正黑体_GBK">
    <w:panose1 w:val="03000509000000000000"/>
    <w:charset w:val="86"/>
    <w:family w:val="script"/>
    <w:pitch w:val="default"/>
    <w:sig w:usb0="00000001" w:usb1="080E0000" w:usb2="00000000" w:usb3="00000000" w:csb0="00040000" w:csb1="00000000"/>
    <w:embedRegular r:id="rId5" w:fontKey="{B977D275-30D5-4BEE-8C1C-E265F2A8E529}"/>
  </w:font>
  <w:font w:name="方正楷体_GBK">
    <w:panose1 w:val="03000509000000000000"/>
    <w:charset w:val="86"/>
    <w:family w:val="auto"/>
    <w:pitch w:val="default"/>
    <w:sig w:usb0="00000001" w:usb1="080E0000" w:usb2="00000000" w:usb3="00000000" w:csb0="00040000" w:csb1="00000000"/>
    <w:embedRegular r:id="rId6" w:fontKey="{E2807116-57C1-4C75-8773-ABBD9F47CEF3}"/>
  </w:font>
  <w:font w:name="方正仿宋_GBK">
    <w:panose1 w:val="03000509000000000000"/>
    <w:charset w:val="86"/>
    <w:family w:val="script"/>
    <w:pitch w:val="default"/>
    <w:sig w:usb0="00000001" w:usb1="080E0000" w:usb2="00000000" w:usb3="00000000" w:csb0="00040000" w:csb1="00000000"/>
    <w:embedRegular r:id="rId7" w:fontKey="{36D08F03-1E71-4A8C-93F0-E661F673F23B}"/>
  </w:font>
  <w:font w:name="方正楷体_GB2312">
    <w:panose1 w:val="02000000000000000000"/>
    <w:charset w:val="86"/>
    <w:family w:val="auto"/>
    <w:pitch w:val="default"/>
    <w:sig w:usb0="A00002BF" w:usb1="184F6CFA" w:usb2="00000012" w:usb3="00000000" w:csb0="00040001" w:csb1="00000000"/>
    <w:embedRegular r:id="rId8" w:fontKey="{28349998-7F5B-461B-B2AA-83E4AD2E6086}"/>
  </w:font>
  <w:font w:name="方正小标宋简体">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3E639">
    <w:pPr>
      <w:pStyle w:val="2"/>
      <w:tabs>
        <w:tab w:val="left" w:pos="4577"/>
      </w:tabs>
      <w:spacing w:line="192" w:lineRule="auto"/>
      <w:ind w:left="4248"/>
      <w:jc w:val="both"/>
      <w:rPr>
        <w:rFonts w:hint="eastAsia" w:eastAsia="仿宋_GB2312"/>
        <w:sz w:val="22"/>
        <w:szCs w:val="22"/>
        <w:lang w:eastAsia="zh-CN"/>
      </w:rPr>
    </w:pPr>
    <w:r>
      <w:rPr>
        <w:sz w:val="22"/>
      </w:rPr>
      <mc:AlternateContent>
        <mc:Choice Requires="wps">
          <w:drawing>
            <wp:anchor distT="0" distB="0" distL="114300" distR="114300" simplePos="0" relativeHeight="251659264" behindDoc="0" locked="0" layoutInCell="1" allowOverlap="1">
              <wp:simplePos x="0" y="0"/>
              <wp:positionH relativeFrom="margin">
                <wp:posOffset>2654935</wp:posOffset>
              </wp:positionH>
              <wp:positionV relativeFrom="paragraph">
                <wp:posOffset>0</wp:posOffset>
              </wp:positionV>
              <wp:extent cx="53975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53975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03CA2B">
                          <w:pPr>
                            <w:pStyle w:val="3"/>
                            <w:rPr>
                              <w:rFonts w:hint="default" w:ascii="Times New Roman" w:hAnsi="Times New Roman" w:cs="Times New Roman" w:eastAsiaTheme="minorEastAsia"/>
                              <w:sz w:val="24"/>
                              <w:szCs w:val="24"/>
                              <w:lang w:eastAsia="zh-CN"/>
                            </w:rPr>
                          </w:pPr>
                          <w:r>
                            <w:rPr>
                              <w:rFonts w:hint="default" w:ascii="Times New Roman" w:hAnsi="Times New Roman" w:cs="Times New Roman"/>
                              <w:sz w:val="24"/>
                              <w:szCs w:val="24"/>
                              <w:lang w:eastAsia="zh-CN"/>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lang w:eastAsia="zh-CN"/>
                            </w:rPr>
                            <w:t>—</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9.05pt;margin-top:0pt;height:144pt;width:42.5pt;mso-position-horizontal-relative:margin;z-index:251659264;mso-width-relative:page;mso-height-relative:page;" filled="f" stroked="f" coordsize="21600,21600" o:gfxdata="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8INNLtYAAAAIAQAADwAAAAAAAAABACAAAAAiAAAAZHJzL2Rvd25yZXYu&#10;eG1sUEsBAhQAFAAAAAgAh07iQMpNy4U2AgAAYgQAAA4AAAAAAAAAAQAgAAAAJQEAAGRycy9lMm9E&#10;b2MueG1sUEsFBgAAAAAGAAYAWQEAAM0FAAAAAA==&#10;">
              <v:fill on="f" focussize="0,0"/>
              <v:stroke on="f" weight="0.5pt"/>
              <v:imagedata o:title=""/>
              <o:lock v:ext="edit" aspectratio="f"/>
              <v:textbox inset="0mm,0mm,0mm,0mm" style="mso-fit-shape-to-text:t;">
                <w:txbxContent>
                  <w:p w14:paraId="5F03CA2B">
                    <w:pPr>
                      <w:pStyle w:val="3"/>
                      <w:rPr>
                        <w:rFonts w:hint="default" w:ascii="Times New Roman" w:hAnsi="Times New Roman" w:cs="Times New Roman" w:eastAsiaTheme="minorEastAsia"/>
                        <w:sz w:val="24"/>
                        <w:szCs w:val="24"/>
                        <w:lang w:eastAsia="zh-CN"/>
                      </w:rPr>
                    </w:pPr>
                    <w:r>
                      <w:rPr>
                        <w:rFonts w:hint="default" w:ascii="Times New Roman" w:hAnsi="Times New Roman" w:cs="Times New Roman"/>
                        <w:sz w:val="24"/>
                        <w:szCs w:val="24"/>
                        <w:lang w:eastAsia="zh-CN"/>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lang w:eastAsia="zh-CN"/>
                      </w:rPr>
                      <w:t>—</w:t>
                    </w:r>
                  </w:p>
                </w:txbxContent>
              </v:textbox>
            </v:shape>
          </w:pict>
        </mc:Fallback>
      </mc:AlternateContent>
    </w:r>
    <w:r>
      <w:rPr>
        <w:rFonts w:hint="eastAsia"/>
        <w:sz w:val="22"/>
        <w:szCs w:val="22"/>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C2099D"/>
    <w:multiLevelType w:val="singleLevel"/>
    <w:tmpl w:val="83C2099D"/>
    <w:lvl w:ilvl="0" w:tentative="0">
      <w:start w:val="3"/>
      <w:numFmt w:val="chineseCounting"/>
      <w:suff w:val="nothing"/>
      <w:lvlText w:val="（%1）"/>
      <w:lvlJc w:val="left"/>
      <w:rPr>
        <w:rFonts w:hint="eastAsia"/>
      </w:rPr>
    </w:lvl>
  </w:abstractNum>
  <w:abstractNum w:abstractNumId="1">
    <w:nsid w:val="AB37607D"/>
    <w:multiLevelType w:val="singleLevel"/>
    <w:tmpl w:val="AB37607D"/>
    <w:lvl w:ilvl="0" w:tentative="0">
      <w:start w:val="2"/>
      <w:numFmt w:val="chineseCounting"/>
      <w:suff w:val="nothing"/>
      <w:lvlText w:val="%1、"/>
      <w:lvlJc w:val="left"/>
      <w:rPr>
        <w:rFonts w:hint="eastAsia"/>
      </w:rPr>
    </w:lvl>
  </w:abstractNum>
  <w:abstractNum w:abstractNumId="2">
    <w:nsid w:val="DC755355"/>
    <w:multiLevelType w:val="singleLevel"/>
    <w:tmpl w:val="DC755355"/>
    <w:lvl w:ilvl="0" w:tentative="0">
      <w:start w:val="2"/>
      <w:numFmt w:val="chineseCounting"/>
      <w:suff w:val="nothing"/>
      <w:lvlText w:val="%1、"/>
      <w:lvlJc w:val="left"/>
      <w:rPr>
        <w:rFonts w:hint="eastAsia"/>
      </w:rPr>
    </w:lvl>
  </w:abstractNum>
  <w:abstractNum w:abstractNumId="3">
    <w:nsid w:val="FB7F3C9A"/>
    <w:multiLevelType w:val="singleLevel"/>
    <w:tmpl w:val="FB7F3C9A"/>
    <w:lvl w:ilvl="0" w:tentative="0">
      <w:start w:val="2"/>
      <w:numFmt w:val="chineseCounting"/>
      <w:suff w:val="nothing"/>
      <w:lvlText w:val="（%1）"/>
      <w:lvlJc w:val="left"/>
      <w:pPr>
        <w:ind w:left="-10"/>
      </w:pPr>
      <w:rPr>
        <w:rFonts w:hint="eastAsia"/>
      </w:rPr>
    </w:lvl>
  </w:abstractNum>
  <w:abstractNum w:abstractNumId="4">
    <w:nsid w:val="09494B65"/>
    <w:multiLevelType w:val="singleLevel"/>
    <w:tmpl w:val="09494B65"/>
    <w:lvl w:ilvl="0" w:tentative="0">
      <w:start w:val="2"/>
      <w:numFmt w:val="chineseCounting"/>
      <w:suff w:val="nothing"/>
      <w:lvlText w:val="%1、"/>
      <w:lvlJc w:val="left"/>
      <w:rPr>
        <w:rFonts w:hint="eastAsia"/>
      </w:rPr>
    </w:lvl>
  </w:abstractNum>
  <w:abstractNum w:abstractNumId="5">
    <w:nsid w:val="0EB608C0"/>
    <w:multiLevelType w:val="singleLevel"/>
    <w:tmpl w:val="0EB608C0"/>
    <w:lvl w:ilvl="0" w:tentative="0">
      <w:start w:val="2"/>
      <w:numFmt w:val="chineseCounting"/>
      <w:suff w:val="nothing"/>
      <w:lvlText w:val="%1、"/>
      <w:lvlJc w:val="left"/>
      <w:rPr>
        <w:rFonts w:hint="eastAsia"/>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lNmNlZWQ2MmJhZDA5NmVlOTlkMmZkZDBhMzBmZDgifQ=="/>
  </w:docVars>
  <w:rsids>
    <w:rsidRoot w:val="28287FBF"/>
    <w:rsid w:val="00881F16"/>
    <w:rsid w:val="00916664"/>
    <w:rsid w:val="00A861C7"/>
    <w:rsid w:val="014A2DD9"/>
    <w:rsid w:val="02306473"/>
    <w:rsid w:val="02985DC6"/>
    <w:rsid w:val="02B73216"/>
    <w:rsid w:val="039A36A3"/>
    <w:rsid w:val="03C07816"/>
    <w:rsid w:val="03C36E72"/>
    <w:rsid w:val="053F79B8"/>
    <w:rsid w:val="05D8607A"/>
    <w:rsid w:val="06021CF7"/>
    <w:rsid w:val="06B412F7"/>
    <w:rsid w:val="07442078"/>
    <w:rsid w:val="08BF276D"/>
    <w:rsid w:val="098D62C1"/>
    <w:rsid w:val="0A3A0BF7"/>
    <w:rsid w:val="0B4F77DD"/>
    <w:rsid w:val="0B9E269F"/>
    <w:rsid w:val="0C8A2C23"/>
    <w:rsid w:val="0C8E2713"/>
    <w:rsid w:val="0D257FE2"/>
    <w:rsid w:val="0DA815B3"/>
    <w:rsid w:val="0DBE24E9"/>
    <w:rsid w:val="0DDC125D"/>
    <w:rsid w:val="0E125051"/>
    <w:rsid w:val="0E39045D"/>
    <w:rsid w:val="0E455054"/>
    <w:rsid w:val="0F270A28"/>
    <w:rsid w:val="0F5F3EF3"/>
    <w:rsid w:val="0F607235"/>
    <w:rsid w:val="0F625791"/>
    <w:rsid w:val="0FC37FEC"/>
    <w:rsid w:val="0FD64BBF"/>
    <w:rsid w:val="0FEE2832"/>
    <w:rsid w:val="105C6685"/>
    <w:rsid w:val="106C74C3"/>
    <w:rsid w:val="10DC6216"/>
    <w:rsid w:val="115F467E"/>
    <w:rsid w:val="1191235E"/>
    <w:rsid w:val="11BD3153"/>
    <w:rsid w:val="12A93756"/>
    <w:rsid w:val="12BF5BCF"/>
    <w:rsid w:val="133149E8"/>
    <w:rsid w:val="136E5E16"/>
    <w:rsid w:val="137D0B9A"/>
    <w:rsid w:val="13AD4DEB"/>
    <w:rsid w:val="14852036"/>
    <w:rsid w:val="14DC57C0"/>
    <w:rsid w:val="14E418A1"/>
    <w:rsid w:val="15000600"/>
    <w:rsid w:val="15AA1C40"/>
    <w:rsid w:val="160C6815"/>
    <w:rsid w:val="16383B80"/>
    <w:rsid w:val="163B35E8"/>
    <w:rsid w:val="17B07FF5"/>
    <w:rsid w:val="1B6F0841"/>
    <w:rsid w:val="1B77562D"/>
    <w:rsid w:val="1B800142"/>
    <w:rsid w:val="1C331ED0"/>
    <w:rsid w:val="1C956E4A"/>
    <w:rsid w:val="1D9E15BC"/>
    <w:rsid w:val="1DE81558"/>
    <w:rsid w:val="1DEA4B5A"/>
    <w:rsid w:val="1E084DA2"/>
    <w:rsid w:val="1E945864"/>
    <w:rsid w:val="1ECB32EE"/>
    <w:rsid w:val="1F363B45"/>
    <w:rsid w:val="1FC14756"/>
    <w:rsid w:val="200831DC"/>
    <w:rsid w:val="209E771C"/>
    <w:rsid w:val="211F1A3D"/>
    <w:rsid w:val="21B06830"/>
    <w:rsid w:val="21F030D1"/>
    <w:rsid w:val="22285370"/>
    <w:rsid w:val="2376181C"/>
    <w:rsid w:val="240E4D66"/>
    <w:rsid w:val="24592ADA"/>
    <w:rsid w:val="24A7216D"/>
    <w:rsid w:val="24D43154"/>
    <w:rsid w:val="254D2812"/>
    <w:rsid w:val="262B2929"/>
    <w:rsid w:val="26E4767F"/>
    <w:rsid w:val="271676DA"/>
    <w:rsid w:val="27316D3A"/>
    <w:rsid w:val="27697F0B"/>
    <w:rsid w:val="27C37321"/>
    <w:rsid w:val="28287FBF"/>
    <w:rsid w:val="28A23AEB"/>
    <w:rsid w:val="2920429C"/>
    <w:rsid w:val="29A77D54"/>
    <w:rsid w:val="2A144F69"/>
    <w:rsid w:val="2B2775AA"/>
    <w:rsid w:val="2BE9306A"/>
    <w:rsid w:val="2C77479D"/>
    <w:rsid w:val="2C8B02DF"/>
    <w:rsid w:val="2D236108"/>
    <w:rsid w:val="2DDF248E"/>
    <w:rsid w:val="2DED188E"/>
    <w:rsid w:val="2E155B33"/>
    <w:rsid w:val="2E2442C1"/>
    <w:rsid w:val="2E475768"/>
    <w:rsid w:val="2E864BA1"/>
    <w:rsid w:val="2EC102CF"/>
    <w:rsid w:val="2ED572F8"/>
    <w:rsid w:val="302959D3"/>
    <w:rsid w:val="30816902"/>
    <w:rsid w:val="30A457B2"/>
    <w:rsid w:val="30AE66E9"/>
    <w:rsid w:val="31064879"/>
    <w:rsid w:val="311B6FA8"/>
    <w:rsid w:val="3180743A"/>
    <w:rsid w:val="31853836"/>
    <w:rsid w:val="31FB713A"/>
    <w:rsid w:val="324561A6"/>
    <w:rsid w:val="324C2031"/>
    <w:rsid w:val="32534AFB"/>
    <w:rsid w:val="32D30688"/>
    <w:rsid w:val="33346D74"/>
    <w:rsid w:val="35321457"/>
    <w:rsid w:val="3539657D"/>
    <w:rsid w:val="36402451"/>
    <w:rsid w:val="364E419C"/>
    <w:rsid w:val="36690E21"/>
    <w:rsid w:val="37457240"/>
    <w:rsid w:val="38110FF7"/>
    <w:rsid w:val="38A04AB1"/>
    <w:rsid w:val="38FC161D"/>
    <w:rsid w:val="39373367"/>
    <w:rsid w:val="39CF6ED4"/>
    <w:rsid w:val="39D07647"/>
    <w:rsid w:val="39FA28E7"/>
    <w:rsid w:val="3ABC7B9C"/>
    <w:rsid w:val="3AD06A61"/>
    <w:rsid w:val="3B312338"/>
    <w:rsid w:val="3B457B92"/>
    <w:rsid w:val="3B900F0C"/>
    <w:rsid w:val="3B915AF8"/>
    <w:rsid w:val="3C157564"/>
    <w:rsid w:val="3CB46D7D"/>
    <w:rsid w:val="3DBC0328"/>
    <w:rsid w:val="3E4D56DB"/>
    <w:rsid w:val="3F00274D"/>
    <w:rsid w:val="3F077F50"/>
    <w:rsid w:val="3FEB116B"/>
    <w:rsid w:val="403043A5"/>
    <w:rsid w:val="406929C0"/>
    <w:rsid w:val="40860CD1"/>
    <w:rsid w:val="409876C3"/>
    <w:rsid w:val="40C35DD8"/>
    <w:rsid w:val="41526B48"/>
    <w:rsid w:val="418F600A"/>
    <w:rsid w:val="41F51714"/>
    <w:rsid w:val="42086E64"/>
    <w:rsid w:val="43D00815"/>
    <w:rsid w:val="442944F4"/>
    <w:rsid w:val="443679C8"/>
    <w:rsid w:val="44705ECD"/>
    <w:rsid w:val="455A0708"/>
    <w:rsid w:val="464C44CA"/>
    <w:rsid w:val="469D330A"/>
    <w:rsid w:val="4714323A"/>
    <w:rsid w:val="47B93D6C"/>
    <w:rsid w:val="47F63C2D"/>
    <w:rsid w:val="4833303D"/>
    <w:rsid w:val="49156DF5"/>
    <w:rsid w:val="4A0A26D2"/>
    <w:rsid w:val="4AA5064D"/>
    <w:rsid w:val="4B4A03F0"/>
    <w:rsid w:val="4BC66BD6"/>
    <w:rsid w:val="4CBE409E"/>
    <w:rsid w:val="4CBF5C1D"/>
    <w:rsid w:val="4CCE1D7B"/>
    <w:rsid w:val="4D230CD5"/>
    <w:rsid w:val="4DB201E7"/>
    <w:rsid w:val="4E1C0C26"/>
    <w:rsid w:val="4EC56BC8"/>
    <w:rsid w:val="4ECF6C2F"/>
    <w:rsid w:val="4FDA66A3"/>
    <w:rsid w:val="50094436"/>
    <w:rsid w:val="501F49FD"/>
    <w:rsid w:val="50357D7D"/>
    <w:rsid w:val="50CF3D2E"/>
    <w:rsid w:val="51DA6E2E"/>
    <w:rsid w:val="521A722A"/>
    <w:rsid w:val="529D6789"/>
    <w:rsid w:val="52B2639C"/>
    <w:rsid w:val="539179C0"/>
    <w:rsid w:val="53B316E5"/>
    <w:rsid w:val="53C8185B"/>
    <w:rsid w:val="545D5701"/>
    <w:rsid w:val="551D1694"/>
    <w:rsid w:val="55216B22"/>
    <w:rsid w:val="55580750"/>
    <w:rsid w:val="55B07E94"/>
    <w:rsid w:val="55C7438A"/>
    <w:rsid w:val="55FE7136"/>
    <w:rsid w:val="569F0646"/>
    <w:rsid w:val="572C3252"/>
    <w:rsid w:val="57633665"/>
    <w:rsid w:val="583E537A"/>
    <w:rsid w:val="58577431"/>
    <w:rsid w:val="58596C4E"/>
    <w:rsid w:val="588C6F46"/>
    <w:rsid w:val="58D549CF"/>
    <w:rsid w:val="58F509F1"/>
    <w:rsid w:val="590F533F"/>
    <w:rsid w:val="59D37A61"/>
    <w:rsid w:val="5AEB1B3C"/>
    <w:rsid w:val="5B760215"/>
    <w:rsid w:val="5BD448EE"/>
    <w:rsid w:val="5CE06C78"/>
    <w:rsid w:val="5D172CE4"/>
    <w:rsid w:val="5D870FD6"/>
    <w:rsid w:val="5DBB700F"/>
    <w:rsid w:val="5DDE7CA6"/>
    <w:rsid w:val="5E4422B0"/>
    <w:rsid w:val="5F635895"/>
    <w:rsid w:val="60F11A9E"/>
    <w:rsid w:val="62015DB4"/>
    <w:rsid w:val="62624078"/>
    <w:rsid w:val="62760916"/>
    <w:rsid w:val="628A660F"/>
    <w:rsid w:val="62BD60DC"/>
    <w:rsid w:val="62E90EF9"/>
    <w:rsid w:val="63376067"/>
    <w:rsid w:val="649D63EE"/>
    <w:rsid w:val="654839FF"/>
    <w:rsid w:val="663E42A6"/>
    <w:rsid w:val="66572985"/>
    <w:rsid w:val="67BA52E0"/>
    <w:rsid w:val="67E91721"/>
    <w:rsid w:val="67ED1853"/>
    <w:rsid w:val="68C53F3C"/>
    <w:rsid w:val="693E784B"/>
    <w:rsid w:val="6953498D"/>
    <w:rsid w:val="6A10171A"/>
    <w:rsid w:val="6A805212"/>
    <w:rsid w:val="6BB60867"/>
    <w:rsid w:val="6BB83C1A"/>
    <w:rsid w:val="6C3C1F75"/>
    <w:rsid w:val="6D246E18"/>
    <w:rsid w:val="6DE76703"/>
    <w:rsid w:val="6E7B6E4B"/>
    <w:rsid w:val="6EAA3D90"/>
    <w:rsid w:val="6EEE2BEC"/>
    <w:rsid w:val="6EFD5AB2"/>
    <w:rsid w:val="6F15104E"/>
    <w:rsid w:val="6F616041"/>
    <w:rsid w:val="6F7447ED"/>
    <w:rsid w:val="6FCF195D"/>
    <w:rsid w:val="6FED7D39"/>
    <w:rsid w:val="702A2CB2"/>
    <w:rsid w:val="703854B4"/>
    <w:rsid w:val="70F11B63"/>
    <w:rsid w:val="711968AD"/>
    <w:rsid w:val="71B27028"/>
    <w:rsid w:val="725745CC"/>
    <w:rsid w:val="72AB206D"/>
    <w:rsid w:val="72B42C18"/>
    <w:rsid w:val="72B700B6"/>
    <w:rsid w:val="72CE25E9"/>
    <w:rsid w:val="735F3B8B"/>
    <w:rsid w:val="738B3886"/>
    <w:rsid w:val="73E373FE"/>
    <w:rsid w:val="74654825"/>
    <w:rsid w:val="74686E92"/>
    <w:rsid w:val="756D0D01"/>
    <w:rsid w:val="756F67BD"/>
    <w:rsid w:val="7581743D"/>
    <w:rsid w:val="76217CB3"/>
    <w:rsid w:val="7657350F"/>
    <w:rsid w:val="76D1360B"/>
    <w:rsid w:val="775708DD"/>
    <w:rsid w:val="782D11B6"/>
    <w:rsid w:val="783E1615"/>
    <w:rsid w:val="78533D7D"/>
    <w:rsid w:val="791B257D"/>
    <w:rsid w:val="791F19F3"/>
    <w:rsid w:val="79984052"/>
    <w:rsid w:val="7AAE03E5"/>
    <w:rsid w:val="7AFB559C"/>
    <w:rsid w:val="7CAD6490"/>
    <w:rsid w:val="7D1633C4"/>
    <w:rsid w:val="7DFE05A0"/>
    <w:rsid w:val="7E6A3F66"/>
    <w:rsid w:val="7EBE525E"/>
    <w:rsid w:val="96B5F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line="520" w:lineRule="exact"/>
      <w:jc w:val="center"/>
    </w:pPr>
    <w:rPr>
      <w:rFonts w:ascii="仿宋_GB2312" w:eastAsia="仿宋_GB2312"/>
      <w:kern w:val="0"/>
      <w:sz w:val="28"/>
      <w:lang w:val="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Subtitle"/>
    <w:basedOn w:val="1"/>
    <w:next w:val="1"/>
    <w:qFormat/>
    <w:uiPriority w:val="0"/>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paragraph" w:customStyle="1" w:styleId="10">
    <w:name w:val="Default"/>
    <w:qFormat/>
    <w:uiPriority w:val="0"/>
    <w:pPr>
      <w:widowControl w:val="0"/>
      <w:autoSpaceDE w:val="0"/>
      <w:autoSpaceDN w:val="0"/>
      <w:adjustRightInd w:val="0"/>
    </w:pPr>
    <w:rPr>
      <w:rFonts w:ascii="宋体" w:eastAsia="宋体" w:cs="宋体" w:hAnsiTheme="minorHAnsi"/>
      <w:color w:val="000000"/>
      <w:kern w:val="0"/>
      <w:sz w:val="24"/>
      <w:szCs w:val="24"/>
      <w:lang w:val="en-US" w:eastAsia="zh-CN" w:bidi="ar-SA"/>
    </w:rPr>
  </w:style>
  <w:style w:type="paragraph" w:customStyle="1" w:styleId="11">
    <w:name w:val="Table Text"/>
    <w:basedOn w:val="1"/>
    <w:semiHidden/>
    <w:qFormat/>
    <w:uiPriority w:val="0"/>
    <w:rPr>
      <w:rFonts w:ascii="微软雅黑" w:hAnsi="微软雅黑" w:eastAsia="微软雅黑" w:cs="微软雅黑"/>
      <w:sz w:val="20"/>
      <w:szCs w:val="20"/>
      <w:lang w:val="en-US" w:eastAsia="en-US" w:bidi="ar-SA"/>
    </w:rPr>
  </w:style>
  <w:style w:type="table" w:customStyle="1" w:styleId="1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51</Pages>
  <Words>4351</Words>
  <Characters>4621</Characters>
  <Lines>95</Lines>
  <Paragraphs>26</Paragraphs>
  <TotalTime>17</TotalTime>
  <ScaleCrop>false</ScaleCrop>
  <LinksUpToDate>false</LinksUpToDate>
  <CharactersWithSpaces>4739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2024-05-08T09:07:00Z</dcterms:created>
  <dc:creator>陈菁</dc:creator>
  <cp:lastModifiedBy>生活如歌</cp:lastModifiedBy>
  <cp:lastPrinted>2024-05-30T10:09:00Z</cp:lastPrinted>
  <dcterms:modified xsi:type="dcterms:W3CDTF">2025-08-21T06:29:19Z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D9938C5434B943EA93B7D092A282D5F9_13</vt:lpwstr>
  </property>
  <property fmtid="{D5CDD505-2E9C-101B-9397-08002B2CF9AE}" pid="4" name="KSOTemplateDocerSaveRecord">
    <vt:lpwstr>eyJoZGlkIjoiOTVmNGY1MmVlNzY0ZTA5ZGY3MWIwYTRjNmVlYTZjZmEiLCJ1c2VySWQiOiI2NTQ5Mjg3ODcifQ==</vt:lpwstr>
  </property>
</Properties>
</file>