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6552" w:rsidRDefault="00256552" w:rsidP="00256552">
      <w:pPr>
        <w:adjustRightInd w:val="0"/>
        <w:snapToGrid w:val="0"/>
        <w:spacing w:line="560" w:lineRule="atLeast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黑体_GBK" w:eastAsia="方正黑体_GBK" w:hAnsi="方正黑体_GBK" w:cs="方正黑体_GBK" w:hint="eastAsia"/>
          <w:szCs w:val="32"/>
        </w:rPr>
        <w:t>附件2</w:t>
      </w:r>
    </w:p>
    <w:p w:rsidR="00256552" w:rsidRDefault="00256552" w:rsidP="00256552">
      <w:pPr>
        <w:adjustRightInd w:val="0"/>
        <w:snapToGrid w:val="0"/>
        <w:spacing w:line="560" w:lineRule="atLeast"/>
        <w:rPr>
          <w:rFonts w:ascii="方正仿宋_GBK" w:eastAsia="方正仿宋_GBK" w:hAnsi="方正仿宋_GBK" w:cs="方正仿宋_GBK"/>
          <w:szCs w:val="32"/>
        </w:rPr>
      </w:pPr>
    </w:p>
    <w:p w:rsidR="00256552" w:rsidRDefault="00256552" w:rsidP="00256552">
      <w:pPr>
        <w:adjustRightInd w:val="0"/>
        <w:snapToGrid w:val="0"/>
        <w:spacing w:line="560" w:lineRule="atLeast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2023年度江苏省血地</w:t>
      </w:r>
      <w:proofErr w:type="gramStart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寄科研</w:t>
      </w:r>
      <w:proofErr w:type="gramEnd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课题招标指南</w:t>
      </w:r>
    </w:p>
    <w:bookmarkEnd w:id="0"/>
    <w:p w:rsidR="00256552" w:rsidRDefault="00256552" w:rsidP="00256552">
      <w:pPr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</w:p>
    <w:p w:rsidR="00256552" w:rsidRDefault="00256552" w:rsidP="00256552">
      <w:pPr>
        <w:ind w:firstLineChars="200" w:firstLine="640"/>
        <w:rPr>
          <w:rFonts w:ascii="黑体" w:eastAsia="黑体" w:hAnsi="黑体" w:hint="eastAsia"/>
          <w:szCs w:val="32"/>
        </w:rPr>
      </w:pPr>
      <w:r>
        <w:rPr>
          <w:rFonts w:ascii="黑体" w:eastAsia="黑体" w:hAnsi="黑体" w:hint="eastAsia"/>
          <w:szCs w:val="32"/>
        </w:rPr>
        <w:t>一、血吸虫病防治研究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1.血吸虫病监测预警技术研究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2.生态环境变化对血吸虫病影响研究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3.血吸虫病等检验检测及诊断方法研究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4.钉螺与传染源控制新方法、新技术研究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5.晚期血吸虫病队列与救助研究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6.动物传染源控制技术研究</w:t>
      </w:r>
    </w:p>
    <w:p w:rsidR="00256552" w:rsidRDefault="00256552" w:rsidP="00256552">
      <w:pPr>
        <w:ind w:firstLineChars="200" w:firstLine="640"/>
        <w:rPr>
          <w:rFonts w:ascii="黑体" w:eastAsia="黑体" w:hAnsi="黑体" w:hint="eastAsia"/>
          <w:szCs w:val="32"/>
        </w:rPr>
      </w:pPr>
      <w:r>
        <w:rPr>
          <w:rFonts w:ascii="黑体" w:eastAsia="黑体" w:hAnsi="黑体" w:hint="eastAsia"/>
          <w:szCs w:val="32"/>
        </w:rPr>
        <w:t>二、地方病防治研究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1.水源性高</w:t>
      </w:r>
      <w:proofErr w:type="gramStart"/>
      <w:r>
        <w:rPr>
          <w:rFonts w:ascii="方正仿宋_GBK" w:eastAsia="方正仿宋_GBK" w:hAnsi="方正仿宋_GBK" w:cs="方正仿宋_GBK" w:hint="eastAsia"/>
          <w:szCs w:val="32"/>
        </w:rPr>
        <w:t>碘地区</w:t>
      </w:r>
      <w:proofErr w:type="gramEnd"/>
      <w:r>
        <w:rPr>
          <w:rFonts w:ascii="方正仿宋_GBK" w:eastAsia="方正仿宋_GBK" w:hAnsi="方正仿宋_GBK" w:cs="方正仿宋_GBK" w:hint="eastAsia"/>
          <w:szCs w:val="32"/>
        </w:rPr>
        <w:t>防控措施实施效果评价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2.氟骨症患者队列与救治、随访、管理研究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3.高氟远期效应及对非骨相系统的健康影响研究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4.重点甲状腺疾病患病及影响因素研究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5.高氟、高碘防控新方法、新技术研究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6.碘缺乏病防治监测系统及其评价研究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7.食盐加碘含量调整对人群碘营养及健康的影响</w:t>
      </w:r>
    </w:p>
    <w:p w:rsidR="00256552" w:rsidRDefault="00256552" w:rsidP="00256552">
      <w:pPr>
        <w:ind w:firstLineChars="200" w:firstLine="640"/>
        <w:rPr>
          <w:rFonts w:ascii="黑体" w:eastAsia="黑体" w:hAnsi="黑体" w:hint="eastAsia"/>
          <w:szCs w:val="32"/>
        </w:rPr>
      </w:pPr>
      <w:r>
        <w:rPr>
          <w:rFonts w:ascii="黑体" w:eastAsia="黑体" w:hAnsi="黑体" w:hint="eastAsia"/>
          <w:szCs w:val="32"/>
        </w:rPr>
        <w:t>三、寄生虫病防治研究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1.输入性疟疾传播特征及防止再传播技术研究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2.疟疾消除后病原和媒介监测技术研究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3.媒介监测与控制新技术、新方法及现场评价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4.寄生虫病流行与相关危险因素监测技术研究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lastRenderedPageBreak/>
        <w:t>5.输入性和食源性寄生虫病诊治与防控技术研究</w:t>
      </w:r>
    </w:p>
    <w:p w:rsidR="00256552" w:rsidRDefault="00256552" w:rsidP="00256552">
      <w:pPr>
        <w:ind w:firstLineChars="200" w:firstLine="640"/>
        <w:rPr>
          <w:rFonts w:ascii="黑体" w:eastAsia="黑体" w:hAnsi="黑体" w:hint="eastAsia"/>
          <w:szCs w:val="32"/>
        </w:rPr>
      </w:pPr>
      <w:r>
        <w:rPr>
          <w:rFonts w:ascii="黑体" w:eastAsia="黑体" w:hAnsi="黑体" w:hint="eastAsia"/>
          <w:szCs w:val="32"/>
        </w:rPr>
        <w:t>四．卫生标准和软科学研究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1.寄生虫病卫生标准研制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2.</w:t>
      </w:r>
      <w:proofErr w:type="gramStart"/>
      <w:r>
        <w:rPr>
          <w:rFonts w:ascii="方正仿宋_GBK" w:eastAsia="方正仿宋_GBK" w:hAnsi="方正仿宋_GBK" w:cs="方正仿宋_GBK" w:hint="eastAsia"/>
          <w:szCs w:val="32"/>
        </w:rPr>
        <w:t>血寄防文化</w:t>
      </w:r>
      <w:proofErr w:type="gramEnd"/>
      <w:r>
        <w:rPr>
          <w:rFonts w:ascii="方正仿宋_GBK" w:eastAsia="方正仿宋_GBK" w:hAnsi="方正仿宋_GBK" w:cs="方正仿宋_GBK" w:hint="eastAsia"/>
          <w:szCs w:val="32"/>
        </w:rPr>
        <w:t>建设与话语权研究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3.</w:t>
      </w:r>
      <w:proofErr w:type="gramStart"/>
      <w:r>
        <w:rPr>
          <w:rFonts w:ascii="方正仿宋_GBK" w:eastAsia="方正仿宋_GBK" w:hAnsi="方正仿宋_GBK" w:cs="方正仿宋_GBK" w:hint="eastAsia"/>
          <w:szCs w:val="32"/>
        </w:rPr>
        <w:t>血寄防健康</w:t>
      </w:r>
      <w:proofErr w:type="gramEnd"/>
      <w:r>
        <w:rPr>
          <w:rFonts w:ascii="方正仿宋_GBK" w:eastAsia="方正仿宋_GBK" w:hAnsi="方正仿宋_GBK" w:cs="方正仿宋_GBK" w:hint="eastAsia"/>
          <w:szCs w:val="32"/>
        </w:rPr>
        <w:t>素养及科普研究</w:t>
      </w:r>
    </w:p>
    <w:p w:rsidR="00256552" w:rsidRDefault="00256552" w:rsidP="00256552">
      <w:pPr>
        <w:ind w:firstLineChars="200" w:firstLine="640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4.地方病防控健康促进研究</w:t>
      </w:r>
    </w:p>
    <w:p w:rsidR="00BC59F3" w:rsidRDefault="00BC59F3" w:rsidP="00256552"/>
    <w:sectPr w:rsidR="00BC59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552"/>
    <w:rsid w:val="00256552"/>
    <w:rsid w:val="00BC5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552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552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</Words>
  <Characters>413</Characters>
  <Application>Microsoft Office Word</Application>
  <DocSecurity>0</DocSecurity>
  <Lines>3</Lines>
  <Paragraphs>1</Paragraphs>
  <ScaleCrop>false</ScaleCrop>
  <Company>china</Company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2023-11-22T01:26:00Z</dcterms:created>
  <dcterms:modified xsi:type="dcterms:W3CDTF">2023-11-22T01:26:00Z</dcterms:modified>
</cp:coreProperties>
</file>