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CF1" w:rsidRDefault="00BE5CF1" w:rsidP="00BE5CF1">
      <w:pPr>
        <w:snapToGrid w:val="0"/>
        <w:rPr>
          <w:rFonts w:eastAsia="方正黑体_GBK" w:hint="eastAsia"/>
          <w:sz w:val="30"/>
          <w:szCs w:val="30"/>
        </w:rPr>
      </w:pPr>
      <w:r>
        <w:rPr>
          <w:rFonts w:eastAsia="方正黑体_GBK"/>
          <w:sz w:val="30"/>
          <w:szCs w:val="30"/>
        </w:rPr>
        <w:t>附件</w:t>
      </w:r>
      <w:r>
        <w:rPr>
          <w:rFonts w:eastAsia="方正黑体_GBK" w:hint="eastAsia"/>
          <w:sz w:val="30"/>
          <w:szCs w:val="30"/>
        </w:rPr>
        <w:t>1</w:t>
      </w:r>
    </w:p>
    <w:p w:rsidR="00BE5CF1" w:rsidRDefault="00BE5CF1" w:rsidP="00BE5CF1">
      <w:pPr>
        <w:snapToGrid w:val="0"/>
        <w:jc w:val="center"/>
        <w:rPr>
          <w:rFonts w:eastAsia="方正黑体_GBK" w:hint="eastAsia"/>
          <w:sz w:val="30"/>
          <w:szCs w:val="30"/>
        </w:rPr>
      </w:pPr>
      <w:bookmarkStart w:id="0" w:name="_GoBack"/>
      <w:r>
        <w:rPr>
          <w:rFonts w:eastAsia="方正小标宋_GBK" w:hint="eastAsia"/>
          <w:sz w:val="36"/>
          <w:szCs w:val="36"/>
        </w:rPr>
        <w:t>2018</w:t>
      </w:r>
      <w:r>
        <w:rPr>
          <w:rFonts w:eastAsia="方正小标宋_GBK" w:hint="eastAsia"/>
          <w:sz w:val="36"/>
          <w:szCs w:val="36"/>
        </w:rPr>
        <w:t>年江苏省干部保健科研课题立项名单</w:t>
      </w:r>
    </w:p>
    <w:tbl>
      <w:tblPr>
        <w:tblW w:w="13860" w:type="dxa"/>
        <w:tblInd w:w="-454" w:type="dxa"/>
        <w:tblLook w:val="0000" w:firstRow="0" w:lastRow="0" w:firstColumn="0" w:lastColumn="0" w:noHBand="0" w:noVBand="0"/>
      </w:tblPr>
      <w:tblGrid>
        <w:gridCol w:w="810"/>
        <w:gridCol w:w="1320"/>
        <w:gridCol w:w="7410"/>
        <w:gridCol w:w="2985"/>
        <w:gridCol w:w="1335"/>
      </w:tblGrid>
      <w:tr w:rsidR="00BE5CF1" w:rsidTr="00E5033B">
        <w:trPr>
          <w:trHeight w:val="737"/>
          <w:tblHeader/>
        </w:trPr>
        <w:tc>
          <w:tcPr>
            <w:tcW w:w="810" w:type="dxa"/>
            <w:tcBorders>
              <w:top w:val="single" w:sz="8" w:space="0" w:color="000000"/>
              <w:left w:val="single" w:sz="8" w:space="0" w:color="000000"/>
              <w:bottom w:val="single" w:sz="8" w:space="0" w:color="000000"/>
              <w:right w:val="single" w:sz="8" w:space="0" w:color="000000"/>
            </w:tcBorders>
            <w:vAlign w:val="center"/>
          </w:tcPr>
          <w:bookmarkEnd w:id="0"/>
          <w:p w:rsidR="00BE5CF1" w:rsidRDefault="00BE5CF1" w:rsidP="00E5033B">
            <w:pPr>
              <w:widowControl/>
              <w:jc w:val="center"/>
              <w:textAlignment w:val="bottom"/>
              <w:rPr>
                <w:rFonts w:ascii="方正黑体_GBK" w:eastAsia="方正黑体_GBK" w:hAnsi="方正黑体_GBK" w:cs="方正黑体_GBK"/>
                <w:color w:val="000000"/>
                <w:sz w:val="24"/>
              </w:rPr>
            </w:pPr>
            <w:r>
              <w:rPr>
                <w:rFonts w:ascii="方正黑体_GBK" w:eastAsia="方正黑体_GBK" w:hAnsi="方正黑体_GBK" w:cs="方正黑体_GBK" w:hint="eastAsia"/>
                <w:color w:val="000000"/>
                <w:kern w:val="0"/>
                <w:sz w:val="24"/>
                <w:lang w:bidi="ar"/>
              </w:rPr>
              <w:t>序号</w:t>
            </w:r>
          </w:p>
        </w:tc>
        <w:tc>
          <w:tcPr>
            <w:tcW w:w="1320" w:type="dxa"/>
            <w:tcBorders>
              <w:top w:val="single" w:sz="8" w:space="0" w:color="000000"/>
              <w:left w:val="nil"/>
              <w:bottom w:val="single" w:sz="8" w:space="0" w:color="000000"/>
              <w:right w:val="single" w:sz="8" w:space="0" w:color="000000"/>
            </w:tcBorders>
            <w:vAlign w:val="center"/>
          </w:tcPr>
          <w:p w:rsidR="00BE5CF1" w:rsidRDefault="00BE5CF1"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立项编号</w:t>
            </w:r>
          </w:p>
        </w:tc>
        <w:tc>
          <w:tcPr>
            <w:tcW w:w="7410" w:type="dxa"/>
            <w:tcBorders>
              <w:top w:val="single" w:sz="8" w:space="0" w:color="000000"/>
              <w:left w:val="nil"/>
              <w:bottom w:val="single" w:sz="8" w:space="0" w:color="000000"/>
              <w:right w:val="single" w:sz="8" w:space="0" w:color="000000"/>
            </w:tcBorders>
            <w:vAlign w:val="center"/>
          </w:tcPr>
          <w:p w:rsidR="00BE5CF1" w:rsidRDefault="00BE5CF1"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项目名称</w:t>
            </w:r>
          </w:p>
        </w:tc>
        <w:tc>
          <w:tcPr>
            <w:tcW w:w="2985" w:type="dxa"/>
            <w:tcBorders>
              <w:top w:val="single" w:sz="8" w:space="0" w:color="000000"/>
              <w:left w:val="nil"/>
              <w:bottom w:val="single" w:sz="8" w:space="0" w:color="000000"/>
              <w:right w:val="single" w:sz="8" w:space="0" w:color="000000"/>
            </w:tcBorders>
            <w:vAlign w:val="center"/>
          </w:tcPr>
          <w:p w:rsidR="00BE5CF1" w:rsidRDefault="00BE5CF1"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承担单位</w:t>
            </w:r>
          </w:p>
        </w:tc>
        <w:tc>
          <w:tcPr>
            <w:tcW w:w="1335" w:type="dxa"/>
            <w:tcBorders>
              <w:top w:val="single" w:sz="8" w:space="0" w:color="000000"/>
              <w:left w:val="nil"/>
              <w:bottom w:val="single" w:sz="8" w:space="0" w:color="000000"/>
              <w:right w:val="single" w:sz="8" w:space="0" w:color="000000"/>
            </w:tcBorders>
            <w:vAlign w:val="bottom"/>
          </w:tcPr>
          <w:p w:rsidR="00BE5CF1" w:rsidRDefault="00BE5CF1" w:rsidP="00E5033B">
            <w:pPr>
              <w:widowControl/>
              <w:jc w:val="center"/>
              <w:textAlignment w:val="bottom"/>
              <w:rPr>
                <w:rFonts w:ascii="方正黑体_GBK" w:eastAsia="方正黑体_GBK" w:hAnsi="方正黑体_GBK" w:cs="方正黑体_GBK" w:hint="eastAsia"/>
                <w:color w:val="000000"/>
                <w:kern w:val="0"/>
                <w:sz w:val="24"/>
                <w:lang w:bidi="ar"/>
              </w:rPr>
            </w:pPr>
            <w:r>
              <w:rPr>
                <w:rFonts w:ascii="方正黑体_GBK" w:eastAsia="方正黑体_GBK" w:hAnsi="方正黑体_GBK" w:cs="方正黑体_GBK" w:hint="eastAsia"/>
                <w:color w:val="000000"/>
                <w:kern w:val="0"/>
                <w:sz w:val="24"/>
                <w:lang w:bidi="ar"/>
              </w:rPr>
              <w:t xml:space="preserve">项 </w:t>
            </w:r>
            <w:r>
              <w:rPr>
                <w:rFonts w:ascii="Calibri" w:eastAsia="方正黑体_GBK" w:hAnsi="Calibri" w:cs="Calibri"/>
                <w:color w:val="000000"/>
                <w:kern w:val="0"/>
                <w:sz w:val="24"/>
                <w:lang w:bidi="ar"/>
              </w:rPr>
              <w:t xml:space="preserve"> </w:t>
            </w:r>
            <w:r>
              <w:rPr>
                <w:rFonts w:ascii="方正黑体_GBK" w:eastAsia="方正黑体_GBK" w:hAnsi="方正黑体_GBK" w:cs="方正黑体_GBK" w:hint="eastAsia"/>
                <w:color w:val="000000"/>
                <w:kern w:val="0"/>
                <w:sz w:val="24"/>
                <w:lang w:bidi="ar"/>
              </w:rPr>
              <w:t>目</w:t>
            </w:r>
          </w:p>
          <w:p w:rsidR="00BE5CF1" w:rsidRDefault="00BE5CF1"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负责人</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BJ18001</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青陈合剂治疗肠道</w:t>
            </w:r>
            <w:proofErr w:type="gramStart"/>
            <w:r>
              <w:rPr>
                <w:rFonts w:ascii="方正仿宋_GBK" w:eastAsia="方正仿宋_GBK" w:hAnsi="方正仿宋_GBK" w:cs="方正仿宋_GBK" w:hint="eastAsia"/>
                <w:color w:val="000000"/>
                <w:kern w:val="0"/>
                <w:sz w:val="24"/>
                <w:lang w:bidi="ar"/>
              </w:rPr>
              <w:t>气滞证</w:t>
            </w:r>
            <w:proofErr w:type="gramEnd"/>
            <w:r>
              <w:rPr>
                <w:rFonts w:ascii="方正仿宋_GBK" w:eastAsia="方正仿宋_GBK" w:hAnsi="方正仿宋_GBK" w:cs="方正仿宋_GBK" w:hint="eastAsia"/>
                <w:color w:val="000000"/>
                <w:kern w:val="0"/>
                <w:sz w:val="24"/>
                <w:lang w:bidi="ar"/>
              </w:rPr>
              <w:t>老年慢性功能性便秘临床疗效观察以及机制探讨</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南京市中医院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张冠成</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BJ18002</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老年慢病诊疗数据库建设及医家互联管理模式构建初探（以老年高血压患者为试点人群）</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南京市第一医院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黄扬</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BJ18003</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有氧运动对</w:t>
            </w:r>
            <w:proofErr w:type="spellStart"/>
            <w:r>
              <w:rPr>
                <w:rFonts w:ascii="方正仿宋_GBK" w:eastAsia="方正仿宋_GBK" w:hAnsi="方正仿宋_GBK" w:cs="方正仿宋_GBK" w:hint="eastAsia"/>
                <w:color w:val="000000"/>
                <w:kern w:val="0"/>
                <w:sz w:val="24"/>
                <w:lang w:bidi="ar"/>
              </w:rPr>
              <w:t>ApoE</w:t>
            </w:r>
            <w:proofErr w:type="spellEnd"/>
            <w:r>
              <w:rPr>
                <w:rFonts w:ascii="方正仿宋_GBK" w:eastAsia="方正仿宋_GBK" w:hAnsi="方正仿宋_GBK" w:cs="方正仿宋_GBK" w:hint="eastAsia"/>
                <w:color w:val="000000"/>
                <w:kern w:val="0"/>
                <w:sz w:val="24"/>
                <w:lang w:bidi="ar"/>
              </w:rPr>
              <w:t xml:space="preserve"> ε4基因携带的早期阿尔茨海默病患者认知功能和</w:t>
            </w:r>
            <w:proofErr w:type="gramStart"/>
            <w:r>
              <w:rPr>
                <w:rFonts w:ascii="方正仿宋_GBK" w:eastAsia="方正仿宋_GBK" w:hAnsi="方正仿宋_GBK" w:cs="方正仿宋_GBK" w:hint="eastAsia"/>
                <w:color w:val="000000"/>
                <w:kern w:val="0"/>
                <w:sz w:val="24"/>
                <w:lang w:bidi="ar"/>
              </w:rPr>
              <w:t>脑结构</w:t>
            </w:r>
            <w:proofErr w:type="gramEnd"/>
            <w:r>
              <w:rPr>
                <w:rFonts w:ascii="方正仿宋_GBK" w:eastAsia="方正仿宋_GBK" w:hAnsi="方正仿宋_GBK" w:cs="方正仿宋_GBK" w:hint="eastAsia"/>
                <w:color w:val="000000"/>
                <w:kern w:val="0"/>
                <w:sz w:val="24"/>
                <w:lang w:bidi="ar"/>
              </w:rPr>
              <w:t>影响的研究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南京脑科医院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董靖德</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4</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BJ18004</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新型二氧化锆全瓷桩/钉在中老年人牙体缺损中的临床应用</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南京市口腔医院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陈燕</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5</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BJ18005</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老年男性</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与动脉硬化的相关性及机制研究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邓慧</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6</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BJ18006</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基于液体活检的</w:t>
            </w:r>
            <w:proofErr w:type="spellStart"/>
            <w:r>
              <w:rPr>
                <w:rFonts w:ascii="方正仿宋_GBK" w:eastAsia="方正仿宋_GBK" w:hAnsi="方正仿宋_GBK" w:cs="方正仿宋_GBK" w:hint="eastAsia"/>
                <w:color w:val="000000"/>
                <w:kern w:val="0"/>
                <w:sz w:val="24"/>
                <w:lang w:bidi="ar"/>
              </w:rPr>
              <w:t>zPDX</w:t>
            </w:r>
            <w:proofErr w:type="spellEnd"/>
            <w:r>
              <w:rPr>
                <w:rFonts w:ascii="方正仿宋_GBK" w:eastAsia="方正仿宋_GBK" w:hAnsi="方正仿宋_GBK" w:cs="方正仿宋_GBK" w:hint="eastAsia"/>
                <w:color w:val="000000"/>
                <w:kern w:val="0"/>
                <w:sz w:val="24"/>
                <w:lang w:bidi="ar"/>
              </w:rPr>
              <w:t>模型即时药</w:t>
            </w:r>
            <w:proofErr w:type="gramStart"/>
            <w:r>
              <w:rPr>
                <w:rFonts w:ascii="方正仿宋_GBK" w:eastAsia="方正仿宋_GBK" w:hAnsi="方正仿宋_GBK" w:cs="方正仿宋_GBK" w:hint="eastAsia"/>
                <w:color w:val="000000"/>
                <w:kern w:val="0"/>
                <w:sz w:val="24"/>
                <w:lang w:bidi="ar"/>
              </w:rPr>
              <w:t>敏方案</w:t>
            </w:r>
            <w:proofErr w:type="gramEnd"/>
            <w:r>
              <w:rPr>
                <w:rFonts w:ascii="方正仿宋_GBK" w:eastAsia="方正仿宋_GBK" w:hAnsi="方正仿宋_GBK" w:cs="方正仿宋_GBK" w:hint="eastAsia"/>
                <w:color w:val="000000"/>
                <w:kern w:val="0"/>
                <w:sz w:val="24"/>
                <w:lang w:bidi="ar"/>
              </w:rPr>
              <w:t>在肺癌脑膜转移个体化治疗中的研究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黄明敏</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7</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BJ18007</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基于基因检测调控</w:t>
            </w:r>
            <w:proofErr w:type="gramStart"/>
            <w:r>
              <w:rPr>
                <w:rFonts w:ascii="方正仿宋_GBK" w:eastAsia="方正仿宋_GBK" w:hAnsi="方正仿宋_GBK" w:cs="方正仿宋_GBK" w:hint="eastAsia"/>
                <w:color w:val="000000"/>
                <w:kern w:val="0"/>
                <w:sz w:val="24"/>
                <w:lang w:bidi="ar"/>
              </w:rPr>
              <w:t>伏立康唑</w:t>
            </w:r>
            <w:proofErr w:type="gramEnd"/>
            <w:r>
              <w:rPr>
                <w:rFonts w:ascii="方正仿宋_GBK" w:eastAsia="方正仿宋_GBK" w:hAnsi="方正仿宋_GBK" w:cs="方正仿宋_GBK" w:hint="eastAsia"/>
                <w:color w:val="000000"/>
                <w:kern w:val="0"/>
                <w:sz w:val="24"/>
                <w:lang w:bidi="ar"/>
              </w:rPr>
              <w:t>在治疗老年肺侵袭性真菌病个体化给药方案研究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赵燕</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8</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BJ18008</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老年女性血清FSH、LH与骨质疏松症的相关性研究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潘丰慧</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9</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BJ18009</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基于循证构建</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精准护理模式的研究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许玲</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10</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BJ18010</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ErbB3在老年肝癌诊断与治疗中的应用研究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徐州医科大学附属医院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王人颢</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11</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BJ18011</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阿加</w:t>
            </w:r>
            <w:proofErr w:type="gramStart"/>
            <w:r>
              <w:rPr>
                <w:rFonts w:ascii="方正仿宋_GBK" w:eastAsia="方正仿宋_GBK" w:hAnsi="方正仿宋_GBK" w:cs="方正仿宋_GBK" w:hint="eastAsia"/>
                <w:color w:val="000000"/>
                <w:kern w:val="0"/>
                <w:sz w:val="24"/>
                <w:lang w:bidi="ar"/>
              </w:rPr>
              <w:t>曲班联合</w:t>
            </w:r>
            <w:proofErr w:type="gramEnd"/>
            <w:r>
              <w:rPr>
                <w:rFonts w:ascii="方正仿宋_GBK" w:eastAsia="方正仿宋_GBK" w:hAnsi="方正仿宋_GBK" w:cs="方正仿宋_GBK" w:hint="eastAsia"/>
                <w:color w:val="000000"/>
                <w:kern w:val="0"/>
                <w:sz w:val="24"/>
                <w:lang w:bidi="ar"/>
              </w:rPr>
              <w:t>阿司匹林治疗高危非致残性缺血脑血管病的研究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苏州市立医院（北区）</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裴少芳</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12</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BJ18012</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基于钉道强化</w:t>
            </w:r>
            <w:proofErr w:type="gramEnd"/>
            <w:r>
              <w:rPr>
                <w:rFonts w:ascii="方正仿宋_GBK" w:eastAsia="方正仿宋_GBK" w:hAnsi="方正仿宋_GBK" w:cs="方正仿宋_GBK" w:hint="eastAsia"/>
                <w:color w:val="000000"/>
                <w:kern w:val="0"/>
                <w:sz w:val="24"/>
                <w:lang w:bidi="ar"/>
              </w:rPr>
              <w:t>的MIS-TLIF技术对老年退变性单节段腰椎不稳症疗效的影响</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连云港市第一人民医院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秦入结</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13</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BJ18013</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个体化能量消耗测定在老年人合理营养中的应用</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狄文娟</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14</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BJ18014</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无创正压通气治疗IPF伴呼吸衰竭的临床研究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陈磊</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15</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BJ18015</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老年重症肺部感染患者抗生素药代/药效学监测及抗感染精准治疗</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周苏明</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16</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BJ18016</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老年血管性认知功能障碍的院内筛查及干预研究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牛琦</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17</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BJ18017</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老年人</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多中心调查及影响因素分析</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郭妍</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18</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BJ18018</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平衡</w:t>
            </w:r>
            <w:proofErr w:type="gramStart"/>
            <w:r>
              <w:rPr>
                <w:rFonts w:ascii="方正仿宋_GBK" w:eastAsia="方正仿宋_GBK" w:hAnsi="方正仿宋_GBK" w:cs="方正仿宋_GBK" w:hint="eastAsia"/>
                <w:color w:val="000000"/>
                <w:kern w:val="0"/>
                <w:sz w:val="24"/>
                <w:lang w:bidi="ar"/>
              </w:rPr>
              <w:t>肌</w:t>
            </w:r>
            <w:proofErr w:type="gramEnd"/>
            <w:r>
              <w:rPr>
                <w:rFonts w:ascii="方正仿宋_GBK" w:eastAsia="方正仿宋_GBK" w:hAnsi="方正仿宋_GBK" w:cs="方正仿宋_GBK" w:hint="eastAsia"/>
                <w:color w:val="000000"/>
                <w:kern w:val="0"/>
                <w:sz w:val="24"/>
                <w:lang w:bidi="ar"/>
              </w:rPr>
              <w:t>功能的超声精准检测和干预效果评估</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赖兵</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19</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BJ18019</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MDT护理模式在老年肺癌化疗患者营养管理中的应用</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沈玉</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20</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BJ18020</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养阴和</w:t>
            </w:r>
            <w:proofErr w:type="gramStart"/>
            <w:r>
              <w:rPr>
                <w:rFonts w:ascii="方正仿宋_GBK" w:eastAsia="方正仿宋_GBK" w:hAnsi="方正仿宋_GBK" w:cs="方正仿宋_GBK" w:hint="eastAsia"/>
                <w:color w:val="000000"/>
                <w:kern w:val="0"/>
                <w:sz w:val="24"/>
                <w:lang w:bidi="ar"/>
              </w:rPr>
              <w:t>瘀</w:t>
            </w:r>
            <w:proofErr w:type="gramEnd"/>
            <w:r>
              <w:rPr>
                <w:rFonts w:ascii="方正仿宋_GBK" w:eastAsia="方正仿宋_GBK" w:hAnsi="方正仿宋_GBK" w:cs="方正仿宋_GBK" w:hint="eastAsia"/>
                <w:color w:val="000000"/>
                <w:kern w:val="0"/>
                <w:sz w:val="24"/>
                <w:lang w:bidi="ar"/>
              </w:rPr>
              <w:t>通窍汤治疗缺血性脑小血管病无痴呆型认知障碍（阴虚血</w:t>
            </w:r>
            <w:proofErr w:type="gramStart"/>
            <w:r>
              <w:rPr>
                <w:rFonts w:ascii="方正仿宋_GBK" w:eastAsia="方正仿宋_GBK" w:hAnsi="方正仿宋_GBK" w:cs="方正仿宋_GBK" w:hint="eastAsia"/>
                <w:color w:val="000000"/>
                <w:kern w:val="0"/>
                <w:sz w:val="24"/>
                <w:lang w:bidi="ar"/>
              </w:rPr>
              <w:t>瘀</w:t>
            </w:r>
            <w:proofErr w:type="gramEnd"/>
            <w:r>
              <w:rPr>
                <w:rFonts w:ascii="方正仿宋_GBK" w:eastAsia="方正仿宋_GBK" w:hAnsi="方正仿宋_GBK" w:cs="方正仿宋_GBK" w:hint="eastAsia"/>
                <w:color w:val="000000"/>
                <w:kern w:val="0"/>
                <w:sz w:val="24"/>
                <w:lang w:bidi="ar"/>
              </w:rPr>
              <w:t>证）的临床研究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仲建刚</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21</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BJ18021</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血府逐</w:t>
            </w:r>
            <w:proofErr w:type="gramStart"/>
            <w:r>
              <w:rPr>
                <w:rFonts w:ascii="方正仿宋_GBK" w:eastAsia="方正仿宋_GBK" w:hAnsi="方正仿宋_GBK" w:cs="方正仿宋_GBK" w:hint="eastAsia"/>
                <w:color w:val="000000"/>
                <w:kern w:val="0"/>
                <w:sz w:val="24"/>
                <w:lang w:bidi="ar"/>
              </w:rPr>
              <w:t>瘀汤通过</w:t>
            </w:r>
            <w:proofErr w:type="gramEnd"/>
            <w:r>
              <w:rPr>
                <w:rFonts w:ascii="方正仿宋_GBK" w:eastAsia="方正仿宋_GBK" w:hAnsi="方正仿宋_GBK" w:cs="方正仿宋_GBK" w:hint="eastAsia"/>
                <w:color w:val="000000"/>
                <w:kern w:val="0"/>
                <w:sz w:val="24"/>
                <w:lang w:bidi="ar"/>
              </w:rPr>
              <w:t>抗氧化应激作用治疗下肢动脉硬化闭塞症的临床疗效分析及机制探讨</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唐亮</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22</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BJ18022</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基于“形神合一”探讨太极拳对机关干部人群心境状态和心理健康影响的规范化研究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商洪涛</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23</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BJ18023</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益气温阳方治疗变应性鼻炎的真实世界研究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马华安</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24</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BJ18024</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基于脑-</w:t>
            </w:r>
            <w:proofErr w:type="gramStart"/>
            <w:r>
              <w:rPr>
                <w:rFonts w:ascii="方正仿宋_GBK" w:eastAsia="方正仿宋_GBK" w:hAnsi="方正仿宋_GBK" w:cs="方正仿宋_GBK" w:hint="eastAsia"/>
                <w:color w:val="000000"/>
                <w:kern w:val="0"/>
                <w:sz w:val="24"/>
                <w:lang w:bidi="ar"/>
              </w:rPr>
              <w:t>肠轴理论</w:t>
            </w:r>
            <w:proofErr w:type="gramEnd"/>
            <w:r>
              <w:rPr>
                <w:rFonts w:ascii="方正仿宋_GBK" w:eastAsia="方正仿宋_GBK" w:hAnsi="方正仿宋_GBK" w:cs="方正仿宋_GBK" w:hint="eastAsia"/>
                <w:color w:val="000000"/>
                <w:kern w:val="0"/>
                <w:sz w:val="24"/>
                <w:lang w:bidi="ar"/>
              </w:rPr>
              <w:t>研究疏经通督手法对腹泻型肠易激综合征的临床疗效</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耿涛</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25</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BJ18025</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探索徐氏参</w:t>
            </w:r>
            <w:proofErr w:type="gramStart"/>
            <w:r>
              <w:rPr>
                <w:rFonts w:ascii="方正仿宋_GBK" w:eastAsia="方正仿宋_GBK" w:hAnsi="方正仿宋_GBK" w:cs="方正仿宋_GBK" w:hint="eastAsia"/>
                <w:color w:val="000000"/>
                <w:kern w:val="0"/>
                <w:sz w:val="24"/>
                <w:lang w:bidi="ar"/>
              </w:rPr>
              <w:t>芪苡</w:t>
            </w:r>
            <w:proofErr w:type="gramEnd"/>
            <w:r>
              <w:rPr>
                <w:rFonts w:ascii="方正仿宋_GBK" w:eastAsia="方正仿宋_GBK" w:hAnsi="方正仿宋_GBK" w:cs="方正仿宋_GBK" w:hint="eastAsia"/>
                <w:color w:val="000000"/>
                <w:kern w:val="0"/>
                <w:sz w:val="24"/>
                <w:lang w:bidi="ar"/>
              </w:rPr>
              <w:t>术</w:t>
            </w:r>
            <w:proofErr w:type="gramStart"/>
            <w:r>
              <w:rPr>
                <w:rFonts w:ascii="方正仿宋_GBK" w:eastAsia="方正仿宋_GBK" w:hAnsi="方正仿宋_GBK" w:cs="方正仿宋_GBK" w:hint="eastAsia"/>
                <w:color w:val="000000"/>
                <w:kern w:val="0"/>
                <w:sz w:val="24"/>
                <w:lang w:bidi="ar"/>
              </w:rPr>
              <w:t>汤通过</w:t>
            </w:r>
            <w:proofErr w:type="gramEnd"/>
            <w:r>
              <w:rPr>
                <w:rFonts w:ascii="方正仿宋_GBK" w:eastAsia="方正仿宋_GBK" w:hAnsi="方正仿宋_GBK" w:cs="方正仿宋_GBK" w:hint="eastAsia"/>
                <w:color w:val="000000"/>
                <w:kern w:val="0"/>
                <w:sz w:val="24"/>
                <w:lang w:bidi="ar"/>
              </w:rPr>
              <w:t>EphA2对于IV期胃癌</w:t>
            </w:r>
            <w:proofErr w:type="gramStart"/>
            <w:r>
              <w:rPr>
                <w:rFonts w:ascii="方正仿宋_GBK" w:eastAsia="方正仿宋_GBK" w:hAnsi="方正仿宋_GBK" w:cs="方正仿宋_GBK" w:hint="eastAsia"/>
                <w:color w:val="000000"/>
                <w:kern w:val="0"/>
                <w:sz w:val="24"/>
                <w:lang w:bidi="ar"/>
              </w:rPr>
              <w:t>奥沙利铂</w:t>
            </w:r>
            <w:proofErr w:type="gramEnd"/>
            <w:r>
              <w:rPr>
                <w:rFonts w:ascii="方正仿宋_GBK" w:eastAsia="方正仿宋_GBK" w:hAnsi="方正仿宋_GBK" w:cs="方正仿宋_GBK" w:hint="eastAsia"/>
                <w:color w:val="000000"/>
                <w:kern w:val="0"/>
                <w:sz w:val="24"/>
                <w:lang w:bidi="ar"/>
              </w:rPr>
              <w:t>化疗后患者EMT相关标志物的影响</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陆为民</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26</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BJ18026</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MALAT1对CD80调控机制的研究及其与老年透析患者微炎症状态的关系</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蒋娟娟</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27</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BJ18027</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proofErr w:type="spellStart"/>
            <w:r>
              <w:rPr>
                <w:rFonts w:ascii="方正仿宋_GBK" w:eastAsia="方正仿宋_GBK" w:hAnsi="方正仿宋_GBK" w:cs="方正仿宋_GBK" w:hint="eastAsia"/>
                <w:color w:val="000000"/>
                <w:kern w:val="0"/>
                <w:sz w:val="24"/>
                <w:lang w:bidi="ar"/>
              </w:rPr>
              <w:t>AngII</w:t>
            </w:r>
            <w:proofErr w:type="spellEnd"/>
            <w:r>
              <w:rPr>
                <w:rFonts w:ascii="方正仿宋_GBK" w:eastAsia="方正仿宋_GBK" w:hAnsi="方正仿宋_GBK" w:cs="方正仿宋_GBK" w:hint="eastAsia"/>
                <w:color w:val="000000"/>
                <w:kern w:val="0"/>
                <w:sz w:val="24"/>
                <w:lang w:bidi="ar"/>
              </w:rPr>
              <w:t>/AT1R通过小胶质细胞NLRP3炎症小</w:t>
            </w:r>
            <w:proofErr w:type="gramStart"/>
            <w:r>
              <w:rPr>
                <w:rFonts w:ascii="方正仿宋_GBK" w:eastAsia="方正仿宋_GBK" w:hAnsi="方正仿宋_GBK" w:cs="方正仿宋_GBK" w:hint="eastAsia"/>
                <w:color w:val="000000"/>
                <w:kern w:val="0"/>
                <w:sz w:val="24"/>
                <w:lang w:bidi="ar"/>
              </w:rPr>
              <w:t>体途径</w:t>
            </w:r>
            <w:proofErr w:type="gramEnd"/>
            <w:r>
              <w:rPr>
                <w:rFonts w:ascii="方正仿宋_GBK" w:eastAsia="方正仿宋_GBK" w:hAnsi="方正仿宋_GBK" w:cs="方正仿宋_GBK" w:hint="eastAsia"/>
                <w:color w:val="000000"/>
                <w:kern w:val="0"/>
                <w:sz w:val="24"/>
                <w:lang w:bidi="ar"/>
              </w:rPr>
              <w:t>在阿尔茨海默病发病机制研究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王变荣</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28</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BJ18028</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LIFR抑制肺腺癌侵袭转移机制研究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杨舒</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29</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BJ18029</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老年甲状腺癌手术方式评估模型的建立及其应用研究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江苏省中西医结合医院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王建华</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30</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BJ18030</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w:t>
            </w:r>
            <w:proofErr w:type="spellStart"/>
            <w:r>
              <w:rPr>
                <w:rFonts w:ascii="方正仿宋_GBK" w:eastAsia="方正仿宋_GBK" w:hAnsi="方正仿宋_GBK" w:cs="方正仿宋_GBK" w:hint="eastAsia"/>
                <w:color w:val="000000"/>
                <w:kern w:val="0"/>
                <w:sz w:val="24"/>
                <w:lang w:bidi="ar"/>
              </w:rPr>
              <w:t>irisin</w:t>
            </w:r>
            <w:proofErr w:type="spellEnd"/>
            <w:r>
              <w:rPr>
                <w:rFonts w:ascii="方正仿宋_GBK" w:eastAsia="方正仿宋_GBK" w:hAnsi="方正仿宋_GBK" w:cs="方正仿宋_GBK" w:hint="eastAsia"/>
                <w:color w:val="000000"/>
                <w:kern w:val="0"/>
                <w:sz w:val="24"/>
                <w:lang w:bidi="ar"/>
              </w:rPr>
              <w:t>途径探讨低频脉冲电磁场联合腰背肌锻炼对老年糖尿病性骨脆性的影响</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江苏省中西医结合医院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胡咏新</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31</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BJ18031</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基于团队管理的血糖波动干预对冠脉搭桥手术患者的效果研究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江苏省中西医结合医院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楼青青</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32</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BJ18032</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晚期癌痛患者心理</w:t>
            </w:r>
            <w:proofErr w:type="gramStart"/>
            <w:r>
              <w:rPr>
                <w:rFonts w:ascii="方正仿宋_GBK" w:eastAsia="方正仿宋_GBK" w:hAnsi="方正仿宋_GBK" w:cs="方正仿宋_GBK" w:hint="eastAsia"/>
                <w:color w:val="000000"/>
                <w:kern w:val="0"/>
                <w:sz w:val="24"/>
                <w:lang w:bidi="ar"/>
              </w:rPr>
              <w:t>痛苦管理</w:t>
            </w:r>
            <w:proofErr w:type="gramEnd"/>
            <w:r>
              <w:rPr>
                <w:rFonts w:ascii="方正仿宋_GBK" w:eastAsia="方正仿宋_GBK" w:hAnsi="方正仿宋_GBK" w:cs="方正仿宋_GBK" w:hint="eastAsia"/>
                <w:color w:val="000000"/>
                <w:kern w:val="0"/>
                <w:sz w:val="24"/>
                <w:lang w:bidi="ar"/>
              </w:rPr>
              <w:t>体系的构建及应用研究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江苏省肿瘤医院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孟爱凤</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33</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BJ18033</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ghrelin受体拮抗剂逆转肺癌细胞对EGFR-TKI的继发耐药及机制研究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江苏省肿瘤医院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李小优</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34</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BJ18034</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磁共振引导下微波消融技术在老年人胸部肿瘤治疗中的应用研究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江苏省肿瘤医院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刘念龙</w:t>
            </w:r>
            <w:proofErr w:type="gramEnd"/>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35</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BJ18035</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PD-L1在口腔鳞形细胞癌化疗耐药中的作用及机制研究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江苏省口腔医院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杜一飞</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36</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BJ18036</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健康体检粪便免疫化学检测(FIT)阳性人群检后精细化管理</w:t>
            </w:r>
            <w:proofErr w:type="gramStart"/>
            <w:r>
              <w:rPr>
                <w:rFonts w:ascii="方正仿宋_GBK" w:eastAsia="方正仿宋_GBK" w:hAnsi="方正仿宋_GBK" w:cs="方正仿宋_GBK" w:hint="eastAsia"/>
                <w:color w:val="000000"/>
                <w:kern w:val="0"/>
                <w:sz w:val="24"/>
                <w:lang w:bidi="ar"/>
              </w:rPr>
              <w:t>策略暨结直肠癌</w:t>
            </w:r>
            <w:proofErr w:type="gramEnd"/>
            <w:r>
              <w:rPr>
                <w:rFonts w:ascii="方正仿宋_GBK" w:eastAsia="方正仿宋_GBK" w:hAnsi="方正仿宋_GBK" w:cs="方正仿宋_GBK" w:hint="eastAsia"/>
                <w:color w:val="000000"/>
                <w:kern w:val="0"/>
                <w:sz w:val="24"/>
                <w:lang w:bidi="ar"/>
              </w:rPr>
              <w:t>筛查路径探索</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江苏省太湖疗养院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鲍艳英</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37</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BJ18037</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成年人血尿酸水平与空腹血糖受损的相关性研究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江苏省太湖疗养院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张彤</w:t>
            </w:r>
          </w:p>
        </w:tc>
      </w:tr>
      <w:tr w:rsidR="00BE5CF1" w:rsidTr="00E5033B">
        <w:trPr>
          <w:trHeight w:val="737"/>
        </w:trPr>
        <w:tc>
          <w:tcPr>
            <w:tcW w:w="810" w:type="dxa"/>
            <w:tcBorders>
              <w:top w:val="nil"/>
              <w:left w:val="single" w:sz="8" w:space="0" w:color="000000"/>
              <w:bottom w:val="single" w:sz="8" w:space="0" w:color="000000"/>
              <w:right w:val="single" w:sz="8" w:space="0" w:color="000000"/>
            </w:tcBorders>
            <w:vAlign w:val="center"/>
          </w:tcPr>
          <w:p w:rsidR="00BE5CF1" w:rsidRDefault="00BE5CF1"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38</w:t>
            </w:r>
          </w:p>
        </w:tc>
        <w:tc>
          <w:tcPr>
            <w:tcW w:w="1320"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BJ18038</w:t>
            </w:r>
          </w:p>
        </w:tc>
        <w:tc>
          <w:tcPr>
            <w:tcW w:w="7410" w:type="dxa"/>
            <w:tcBorders>
              <w:top w:val="nil"/>
              <w:left w:val="nil"/>
              <w:bottom w:val="single" w:sz="8" w:space="0" w:color="000000"/>
              <w:right w:val="single" w:sz="8" w:space="0" w:color="000000"/>
            </w:tcBorders>
            <w:vAlign w:val="center"/>
          </w:tcPr>
          <w:p w:rsidR="00BE5CF1" w:rsidRDefault="00BE5CF1"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雷火</w:t>
            </w:r>
            <w:proofErr w:type="gramStart"/>
            <w:r>
              <w:rPr>
                <w:rFonts w:ascii="方正仿宋_GBK" w:eastAsia="方正仿宋_GBK" w:hAnsi="方正仿宋_GBK" w:cs="方正仿宋_GBK" w:hint="eastAsia"/>
                <w:color w:val="000000"/>
                <w:kern w:val="0"/>
                <w:sz w:val="24"/>
                <w:lang w:bidi="ar"/>
              </w:rPr>
              <w:t>灸</w:t>
            </w:r>
            <w:proofErr w:type="gramEnd"/>
            <w:r>
              <w:rPr>
                <w:rFonts w:ascii="方正仿宋_GBK" w:eastAsia="方正仿宋_GBK" w:hAnsi="方正仿宋_GBK" w:cs="方正仿宋_GBK" w:hint="eastAsia"/>
                <w:color w:val="000000"/>
                <w:kern w:val="0"/>
                <w:sz w:val="24"/>
                <w:lang w:bidi="ar"/>
              </w:rPr>
              <w:t>对老年性</w:t>
            </w:r>
            <w:proofErr w:type="gramStart"/>
            <w:r>
              <w:rPr>
                <w:rFonts w:ascii="方正仿宋_GBK" w:eastAsia="方正仿宋_GBK" w:hAnsi="方正仿宋_GBK" w:cs="方正仿宋_GBK" w:hint="eastAsia"/>
                <w:color w:val="000000"/>
                <w:kern w:val="0"/>
                <w:sz w:val="24"/>
                <w:lang w:bidi="ar"/>
              </w:rPr>
              <w:t>膝</w:t>
            </w:r>
            <w:proofErr w:type="gramEnd"/>
            <w:r>
              <w:rPr>
                <w:rFonts w:ascii="方正仿宋_GBK" w:eastAsia="方正仿宋_GBK" w:hAnsi="方正仿宋_GBK" w:cs="方正仿宋_GBK" w:hint="eastAsia"/>
                <w:color w:val="000000"/>
                <w:kern w:val="0"/>
                <w:sz w:val="24"/>
                <w:lang w:bidi="ar"/>
              </w:rPr>
              <w:t>骨关节炎的临床对比研究</w:t>
            </w:r>
          </w:p>
        </w:tc>
        <w:tc>
          <w:tcPr>
            <w:tcW w:w="298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江苏省钟山康复医院</w:t>
            </w:r>
          </w:p>
        </w:tc>
        <w:tc>
          <w:tcPr>
            <w:tcW w:w="1335" w:type="dxa"/>
            <w:tcBorders>
              <w:top w:val="nil"/>
              <w:left w:val="nil"/>
              <w:bottom w:val="single" w:sz="8" w:space="0" w:color="000000"/>
              <w:right w:val="single" w:sz="8" w:space="0" w:color="000000"/>
            </w:tcBorders>
            <w:vAlign w:val="center"/>
          </w:tcPr>
          <w:p w:rsidR="00BE5CF1" w:rsidRDefault="00BE5CF1"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唐巍东</w:t>
            </w:r>
          </w:p>
        </w:tc>
      </w:tr>
    </w:tbl>
    <w:p w:rsidR="00BE5CF1" w:rsidRDefault="00BE5CF1" w:rsidP="00BE5CF1">
      <w:pPr>
        <w:snapToGrid w:val="0"/>
        <w:rPr>
          <w:rFonts w:eastAsia="方正小标宋_GBK" w:hint="eastAsia"/>
          <w:sz w:val="36"/>
          <w:szCs w:val="36"/>
        </w:rPr>
        <w:sectPr w:rsidR="00BE5CF1">
          <w:pgSz w:w="16838" w:h="11906" w:orient="landscape"/>
          <w:pgMar w:top="1531" w:right="2041" w:bottom="1531" w:left="2041" w:header="851" w:footer="1418" w:gutter="0"/>
          <w:cols w:space="720"/>
          <w:docGrid w:linePitch="312"/>
        </w:sectPr>
      </w:pPr>
    </w:p>
    <w:p w:rsidR="00FF1EE0" w:rsidRDefault="00FF1EE0" w:rsidP="00BE5CF1"/>
    <w:sectPr w:rsidR="00FF1EE0" w:rsidSect="00BE5CF1">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CF1"/>
    <w:rsid w:val="00BE5CF1"/>
    <w:rsid w:val="00FF1E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C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C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310</Words>
  <Characters>1772</Characters>
  <Application>Microsoft Office Word</Application>
  <DocSecurity>0</DocSecurity>
  <Lines>14</Lines>
  <Paragraphs>4</Paragraphs>
  <ScaleCrop>false</ScaleCrop>
  <Company>china</Company>
  <LinksUpToDate>false</LinksUpToDate>
  <CharactersWithSpaces>2078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2023-11-08T09:11:00Z</dcterms:created>
  <dcterms:modified xsi:type="dcterms:W3CDTF">2023-11-08T09:14:00Z</dcterms:modified>
</cp:coreProperties>
</file>