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703" w:rsidRDefault="00131703" w:rsidP="00131703">
      <w:pPr>
        <w:spacing w:line="54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131703" w:rsidRDefault="00131703" w:rsidP="00131703">
      <w:pPr>
        <w:pStyle w:val="1"/>
        <w:spacing w:before="0" w:after="0" w:line="560" w:lineRule="exact"/>
        <w:jc w:val="center"/>
        <w:rPr>
          <w:rFonts w:ascii="方正小标宋_GBK" w:eastAsia="方正小标宋_GBK"/>
          <w:b w:val="0"/>
          <w:bCs w:val="0"/>
          <w:snapToGrid w:val="0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b w:val="0"/>
          <w:bCs w:val="0"/>
          <w:snapToGrid w:val="0"/>
          <w:sz w:val="36"/>
          <w:szCs w:val="36"/>
        </w:rPr>
        <w:t>江苏省儿童预防接种示范门诊设置要求</w:t>
      </w:r>
      <w:bookmarkEnd w:id="0"/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儿童</w:t>
      </w:r>
      <w:r>
        <w:rPr>
          <w:rFonts w:ascii="方正仿宋_GBK" w:eastAsia="方正仿宋_GBK" w:hAnsi="华文细黑"/>
          <w:snapToGrid w:val="0"/>
          <w:sz w:val="30"/>
          <w:szCs w:val="30"/>
        </w:rPr>
        <w:t>预防接种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示范</w:t>
      </w:r>
      <w:r>
        <w:rPr>
          <w:rFonts w:ascii="方正仿宋_GBK" w:eastAsia="方正仿宋_GBK" w:hAnsi="华文细黑"/>
          <w:snapToGrid w:val="0"/>
          <w:sz w:val="30"/>
          <w:szCs w:val="30"/>
        </w:rPr>
        <w:t>门诊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（以下简称“示范门诊”）</w:t>
      </w:r>
      <w:r>
        <w:rPr>
          <w:rFonts w:ascii="方正仿宋_GBK" w:eastAsia="方正仿宋_GBK" w:hAnsi="华文细黑"/>
          <w:snapToGrid w:val="0"/>
          <w:sz w:val="30"/>
          <w:szCs w:val="30"/>
        </w:rPr>
        <w:t>是在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标准化儿童</w:t>
      </w:r>
      <w:r>
        <w:rPr>
          <w:rFonts w:ascii="方正仿宋_GBK" w:eastAsia="方正仿宋_GBK" w:hAnsi="华文细黑"/>
          <w:snapToGrid w:val="0"/>
          <w:sz w:val="30"/>
          <w:szCs w:val="30"/>
        </w:rPr>
        <w:t>预防接种门诊的基础上，进一步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优化</w:t>
      </w:r>
      <w:r>
        <w:rPr>
          <w:rFonts w:ascii="方正仿宋_GBK" w:eastAsia="方正仿宋_GBK" w:hAnsi="华文细黑"/>
          <w:snapToGrid w:val="0"/>
          <w:sz w:val="30"/>
          <w:szCs w:val="30"/>
        </w:rPr>
        <w:t>门诊环境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</w:t>
      </w:r>
      <w:r>
        <w:rPr>
          <w:rFonts w:ascii="方正仿宋_GBK" w:eastAsia="方正仿宋_GBK" w:hAnsi="华文细黑"/>
          <w:snapToGrid w:val="0"/>
          <w:sz w:val="30"/>
          <w:szCs w:val="30"/>
        </w:rPr>
        <w:t>提升服务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水平，并承担所在县（市、区）预防接种</w:t>
      </w:r>
      <w:r>
        <w:rPr>
          <w:rFonts w:ascii="方正仿宋_GBK" w:eastAsia="方正仿宋_GBK" w:hAnsi="华文细黑"/>
          <w:snapToGrid w:val="0"/>
          <w:sz w:val="30"/>
          <w:szCs w:val="30"/>
        </w:rPr>
        <w:t>规范化操作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实践培训基地职能，发挥引领示范作用，从而提升区域内预防接种服务整体水平。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黑体_GBK" w:eastAsia="方正黑体_GBK" w:hAnsi="华文细黑"/>
          <w:snapToGrid w:val="0"/>
          <w:sz w:val="30"/>
          <w:szCs w:val="30"/>
        </w:rPr>
      </w:pPr>
      <w:r>
        <w:rPr>
          <w:rFonts w:ascii="方正黑体_GBK" w:eastAsia="方正黑体_GBK" w:hAnsi="华文细黑" w:hint="eastAsia"/>
          <w:snapToGrid w:val="0"/>
          <w:sz w:val="30"/>
          <w:szCs w:val="30"/>
        </w:rPr>
        <w:t>一、设置原则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（一）示范门诊必须是标准化儿童预防接种门诊，正常</w:t>
      </w:r>
      <w:r>
        <w:rPr>
          <w:rFonts w:ascii="方正仿宋_GBK" w:eastAsia="方正仿宋_GBK" w:hAnsi="华文细黑"/>
          <w:snapToGrid w:val="0"/>
          <w:sz w:val="30"/>
          <w:szCs w:val="30"/>
        </w:rPr>
        <w:t>运转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1年</w:t>
      </w:r>
      <w:r>
        <w:rPr>
          <w:rFonts w:ascii="方正仿宋_GBK" w:eastAsia="方正仿宋_GBK" w:hAnsi="华文细黑"/>
          <w:snapToGrid w:val="0"/>
          <w:sz w:val="30"/>
          <w:szCs w:val="30"/>
        </w:rPr>
        <w:t>以上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，且近3年未发生过疫苗管理和接种差错。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（二）示范门诊由儿童预防接种门诊自愿申请、县级卫生健康行政部门评估申报、市级卫生健康行政部门现场核查、省级卫生健康行政部门复核</w:t>
      </w:r>
      <w:r>
        <w:rPr>
          <w:rFonts w:ascii="方正仿宋_GBK" w:eastAsia="方正仿宋_GBK" w:hAnsi="华文细黑"/>
          <w:snapToGrid w:val="0"/>
          <w:sz w:val="30"/>
          <w:szCs w:val="30"/>
        </w:rPr>
        <w:t>并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认定授牌。已</w:t>
      </w:r>
      <w:r>
        <w:rPr>
          <w:rFonts w:ascii="方正仿宋_GBK" w:eastAsia="方正仿宋_GBK" w:hAnsi="华文细黑"/>
          <w:snapToGrid w:val="0"/>
          <w:sz w:val="30"/>
          <w:szCs w:val="30"/>
        </w:rPr>
        <w:t>认定的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示范门诊如</w:t>
      </w:r>
      <w:r>
        <w:rPr>
          <w:rFonts w:ascii="方正仿宋_GBK" w:eastAsia="方正仿宋_GBK" w:hAnsi="华文细黑"/>
          <w:snapToGrid w:val="0"/>
          <w:sz w:val="30"/>
          <w:szCs w:val="30"/>
        </w:rPr>
        <w:t>出现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疫苗管理和接种差错事件随时</w:t>
      </w:r>
      <w:r>
        <w:rPr>
          <w:rFonts w:ascii="方正仿宋_GBK" w:eastAsia="方正仿宋_GBK" w:hAnsi="华文细黑"/>
          <w:snapToGrid w:val="0"/>
          <w:sz w:val="30"/>
          <w:szCs w:val="30"/>
        </w:rPr>
        <w:t>取消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示范</w:t>
      </w:r>
      <w:r>
        <w:rPr>
          <w:rFonts w:ascii="方正仿宋_GBK" w:eastAsia="方正仿宋_GBK" w:hAnsi="华文细黑"/>
          <w:snapToGrid w:val="0"/>
          <w:sz w:val="30"/>
          <w:szCs w:val="30"/>
        </w:rPr>
        <w:t>门诊称号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。示范门诊每2年</w:t>
      </w:r>
      <w:r>
        <w:rPr>
          <w:rFonts w:ascii="方正仿宋_GBK" w:eastAsia="方正仿宋_GBK" w:hAnsi="华文细黑"/>
          <w:snapToGrid w:val="0"/>
          <w:sz w:val="30"/>
          <w:szCs w:val="30"/>
        </w:rPr>
        <w:t>复核一次。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（三）2020年每个设区市建设不少于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2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家示范门诊，2021年每个县（区）设立不少于1家。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（四）示范门诊作为预防接种规范化操作实践培训基地，承担当地</w:t>
      </w:r>
      <w:r>
        <w:rPr>
          <w:rFonts w:ascii="方正仿宋_GBK" w:eastAsia="方正仿宋_GBK" w:hAnsi="华文细黑"/>
          <w:snapToGrid w:val="0"/>
          <w:sz w:val="30"/>
          <w:szCs w:val="30"/>
        </w:rPr>
        <w:t>预防接种人员规范化培训职能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黑体_GBK" w:eastAsia="方正黑体_GBK" w:hAnsi="华文细黑"/>
          <w:snapToGrid w:val="0"/>
          <w:sz w:val="30"/>
          <w:szCs w:val="30"/>
        </w:rPr>
      </w:pPr>
      <w:r>
        <w:rPr>
          <w:rFonts w:ascii="方正黑体_GBK" w:eastAsia="方正黑体_GBK" w:hAnsi="华文细黑" w:hint="eastAsia"/>
          <w:snapToGrid w:val="0"/>
          <w:sz w:val="30"/>
          <w:szCs w:val="30"/>
        </w:rPr>
        <w:t>二、设置要求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在标准化儿童预防接种门诊基础上，示范门诊还需满足如下要求：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（一）</w:t>
      </w:r>
      <w:r>
        <w:rPr>
          <w:rFonts w:ascii="方正仿宋_GBK" w:eastAsia="方正仿宋_GBK" w:hAnsi="华文细黑"/>
          <w:snapToGrid w:val="0"/>
          <w:sz w:val="30"/>
          <w:szCs w:val="30"/>
        </w:rPr>
        <w:t>房屋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设施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lastRenderedPageBreak/>
        <w:t>1、</w:t>
      </w:r>
      <w:r>
        <w:rPr>
          <w:rFonts w:ascii="方正仿宋_GBK" w:eastAsia="方正仿宋_GBK" w:hAnsi="华文细黑"/>
          <w:snapToGrid w:val="0"/>
          <w:sz w:val="30"/>
          <w:szCs w:val="30"/>
        </w:rPr>
        <w:t>预防接种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区域</w:t>
      </w:r>
      <w:r>
        <w:rPr>
          <w:rFonts w:ascii="方正仿宋_GBK" w:eastAsia="方正仿宋_GBK" w:hAnsi="华文细黑"/>
          <w:snapToGrid w:val="0"/>
          <w:sz w:val="30"/>
          <w:szCs w:val="30"/>
        </w:rPr>
        <w:t>增设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母婴</w:t>
      </w:r>
      <w:r>
        <w:rPr>
          <w:rFonts w:ascii="方正仿宋_GBK" w:eastAsia="方正仿宋_GBK" w:hAnsi="华文细黑"/>
          <w:snapToGrid w:val="0"/>
          <w:sz w:val="30"/>
          <w:szCs w:val="30"/>
        </w:rPr>
        <w:t>室、资料室，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留</w:t>
      </w:r>
      <w:proofErr w:type="gramStart"/>
      <w:r>
        <w:rPr>
          <w:rFonts w:ascii="方正仿宋_GBK" w:eastAsia="方正仿宋_GBK" w:hAnsi="华文细黑" w:hint="eastAsia"/>
          <w:snapToGrid w:val="0"/>
          <w:sz w:val="30"/>
          <w:szCs w:val="30"/>
        </w:rPr>
        <w:t>观</w:t>
      </w:r>
      <w:r>
        <w:rPr>
          <w:rFonts w:ascii="方正仿宋_GBK" w:eastAsia="方正仿宋_GBK" w:hAnsi="华文细黑"/>
          <w:snapToGrid w:val="0"/>
          <w:sz w:val="30"/>
          <w:szCs w:val="30"/>
        </w:rPr>
        <w:t>区域设儿童</w:t>
      </w:r>
      <w:proofErr w:type="gramEnd"/>
      <w:r>
        <w:rPr>
          <w:rFonts w:ascii="方正仿宋_GBK" w:eastAsia="方正仿宋_GBK" w:hAnsi="华文细黑" w:hint="eastAsia"/>
          <w:snapToGrid w:val="0"/>
          <w:sz w:val="30"/>
          <w:szCs w:val="30"/>
        </w:rPr>
        <w:t>娱乐区域</w:t>
      </w:r>
      <w:r>
        <w:rPr>
          <w:rFonts w:ascii="方正仿宋_GBK" w:eastAsia="方正仿宋_GBK" w:hAnsi="华文细黑"/>
          <w:snapToGrid w:val="0"/>
          <w:sz w:val="30"/>
          <w:szCs w:val="30"/>
        </w:rPr>
        <w:t>及设施。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有</w:t>
      </w:r>
      <w:r>
        <w:rPr>
          <w:rFonts w:ascii="方正仿宋_GBK" w:eastAsia="方正仿宋_GBK" w:hAnsi="华文细黑"/>
          <w:snapToGrid w:val="0"/>
          <w:sz w:val="30"/>
          <w:szCs w:val="30"/>
        </w:rPr>
        <w:t>工作人员专用办公室。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2、</w:t>
      </w:r>
      <w:r>
        <w:rPr>
          <w:rFonts w:ascii="方正仿宋_GBK" w:eastAsia="方正仿宋_GBK" w:hAnsi="华文细黑"/>
          <w:snapToGrid w:val="0"/>
          <w:sz w:val="30"/>
          <w:szCs w:val="30"/>
        </w:rPr>
        <w:t>房屋总面积一般在300平方米以上，其中取号候诊区和留观区面积均不少于60平方米、儿童活动场所面积不少于30平方米，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婴儿哺乳室不少于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10平方米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</w:t>
      </w:r>
      <w:r>
        <w:rPr>
          <w:rFonts w:ascii="方正仿宋_GBK" w:eastAsia="方正仿宋_GBK" w:hAnsi="华文细黑"/>
          <w:snapToGrid w:val="0"/>
          <w:sz w:val="30"/>
          <w:szCs w:val="30"/>
        </w:rPr>
        <w:t>冷链室不少于15平方米。疑似预防接种异常反应处置设专室不小于10平方米。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3、</w:t>
      </w:r>
      <w:r>
        <w:rPr>
          <w:rFonts w:ascii="方正仿宋_GBK" w:eastAsia="方正仿宋_GBK" w:hAnsi="华文细黑"/>
          <w:snapToGrid w:val="0"/>
          <w:sz w:val="30"/>
          <w:szCs w:val="30"/>
        </w:rPr>
        <w:t>设有预防接种操作技能和急救示范室、会议室和培训对象休息区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，预防接种技能和急救</w:t>
      </w:r>
      <w:proofErr w:type="gramStart"/>
      <w:r>
        <w:rPr>
          <w:rFonts w:ascii="方正仿宋_GBK" w:eastAsia="方正仿宋_GBK" w:hAnsi="华文细黑" w:hint="eastAsia"/>
          <w:snapToGrid w:val="0"/>
          <w:sz w:val="30"/>
          <w:szCs w:val="30"/>
        </w:rPr>
        <w:t>示范室</w:t>
      </w:r>
      <w:proofErr w:type="gramEnd"/>
      <w:r>
        <w:rPr>
          <w:rFonts w:ascii="方正仿宋_GBK" w:eastAsia="方正仿宋_GBK" w:hAnsi="华文细黑" w:hint="eastAsia"/>
          <w:snapToGrid w:val="0"/>
          <w:sz w:val="30"/>
          <w:szCs w:val="30"/>
        </w:rPr>
        <w:t>的总面积不少于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50平方米。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（二）</w:t>
      </w:r>
      <w:r>
        <w:rPr>
          <w:rFonts w:ascii="方正仿宋_GBK" w:eastAsia="方正仿宋_GBK" w:hAnsi="华文细黑"/>
          <w:snapToGrid w:val="0"/>
          <w:sz w:val="30"/>
          <w:szCs w:val="30"/>
        </w:rPr>
        <w:t>设施设备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1、</w:t>
      </w:r>
      <w:r>
        <w:rPr>
          <w:rFonts w:ascii="方正仿宋_GBK" w:eastAsia="方正仿宋_GBK" w:hAnsi="华文细黑"/>
          <w:snapToGrid w:val="0"/>
          <w:sz w:val="30"/>
          <w:szCs w:val="30"/>
        </w:rPr>
        <w:t>候诊、询问、登记、接种、留观、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母婴室</w:t>
      </w:r>
      <w:r>
        <w:rPr>
          <w:rFonts w:ascii="方正仿宋_GBK" w:eastAsia="方正仿宋_GBK" w:hAnsi="华文细黑"/>
          <w:snapToGrid w:val="0"/>
          <w:sz w:val="30"/>
          <w:szCs w:val="30"/>
        </w:rPr>
        <w:t>等功能区采用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台</w:t>
      </w:r>
      <w:r>
        <w:rPr>
          <w:rFonts w:ascii="方正仿宋_GBK" w:eastAsia="方正仿宋_GBK" w:hAnsi="华文细黑"/>
          <w:snapToGrid w:val="0"/>
          <w:sz w:val="30"/>
          <w:szCs w:val="30"/>
        </w:rPr>
        <w:t>式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软包</w:t>
      </w:r>
      <w:r>
        <w:rPr>
          <w:rFonts w:ascii="方正仿宋_GBK" w:eastAsia="方正仿宋_GBK" w:hAnsi="华文细黑"/>
          <w:snapToGrid w:val="0"/>
          <w:sz w:val="30"/>
          <w:szCs w:val="30"/>
        </w:rPr>
        <w:t>装修，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人性化服务</w:t>
      </w:r>
      <w:r>
        <w:rPr>
          <w:rFonts w:ascii="方正仿宋_GBK" w:eastAsia="方正仿宋_GBK" w:hAnsi="华文细黑"/>
          <w:snapToGrid w:val="0"/>
          <w:sz w:val="30"/>
          <w:szCs w:val="30"/>
        </w:rPr>
        <w:t>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2、</w:t>
      </w:r>
      <w:r>
        <w:rPr>
          <w:rFonts w:ascii="方正仿宋_GBK" w:eastAsia="方正仿宋_GBK" w:hAnsi="华文细黑"/>
          <w:snapToGrid w:val="0"/>
          <w:sz w:val="30"/>
          <w:szCs w:val="30"/>
        </w:rPr>
        <w:t>询问区、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登记区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采用双面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电子核签设备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，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接种区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应设立不少于5个接种单元，配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备</w:t>
      </w:r>
      <w:r>
        <w:rPr>
          <w:rFonts w:ascii="方正仿宋_GBK" w:eastAsia="方正仿宋_GBK" w:hAnsi="华文细黑"/>
          <w:snapToGrid w:val="0"/>
          <w:sz w:val="30"/>
          <w:szCs w:val="30"/>
        </w:rPr>
        <w:t>电子验证确认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设备</w:t>
      </w:r>
      <w:r>
        <w:rPr>
          <w:rFonts w:ascii="方正仿宋_GBK" w:eastAsia="方正仿宋_GBK" w:hAnsi="华文细黑"/>
          <w:snapToGrid w:val="0"/>
          <w:sz w:val="30"/>
          <w:szCs w:val="30"/>
        </w:rPr>
        <w:t>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3、</w:t>
      </w:r>
      <w:r>
        <w:rPr>
          <w:rFonts w:ascii="方正仿宋_GBK" w:eastAsia="方正仿宋_GBK" w:hAnsi="华文细黑"/>
          <w:snapToGrid w:val="0"/>
          <w:sz w:val="30"/>
          <w:szCs w:val="30"/>
        </w:rPr>
        <w:t>儿童活动场所配备适合不同年龄阶段的婴幼儿娱乐设备。冷链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室至少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配备3台医用冷藏冰箱、1台医用低温冰箱。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4、预防接种培训示教室须配备以下设备：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（1）</w:t>
      </w:r>
      <w:r>
        <w:rPr>
          <w:rFonts w:ascii="方正仿宋_GBK" w:eastAsia="方正仿宋_GBK" w:hAnsi="华文细黑"/>
          <w:snapToGrid w:val="0"/>
          <w:sz w:val="30"/>
          <w:szCs w:val="30"/>
        </w:rPr>
        <w:t>教学用常规设备：如演示白板、投影仪、电脑、桌椅等。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（2）</w:t>
      </w:r>
      <w:r>
        <w:rPr>
          <w:rFonts w:ascii="方正仿宋_GBK" w:eastAsia="方正仿宋_GBK" w:hAnsi="华文细黑"/>
          <w:snapToGrid w:val="0"/>
          <w:sz w:val="30"/>
          <w:szCs w:val="30"/>
        </w:rPr>
        <w:t>演练模拟设备：如模拟人、注射器、一次性口罩、帽子、手套、压舌板、滴管、手电筒、血压计、消毒用品和急救药品等。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（3）</w:t>
      </w:r>
      <w:r>
        <w:rPr>
          <w:rFonts w:ascii="方正仿宋_GBK" w:eastAsia="方正仿宋_GBK" w:hAnsi="华文细黑"/>
          <w:snapToGrid w:val="0"/>
          <w:sz w:val="30"/>
          <w:szCs w:val="30"/>
        </w:rPr>
        <w:t>其它设备及耗材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。</w:t>
      </w:r>
      <w:r>
        <w:rPr>
          <w:rFonts w:ascii="方正仿宋_GBK" w:eastAsia="方正仿宋_GBK" w:hAnsi="华文细黑"/>
          <w:snapToGrid w:val="0"/>
          <w:sz w:val="30"/>
          <w:szCs w:val="30"/>
        </w:rPr>
        <w:t xml:space="preserve"> 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黑体_GBK" w:eastAsia="方正黑体_GBK" w:hAnsi="华文细黑"/>
          <w:snapToGrid w:val="0"/>
          <w:sz w:val="30"/>
          <w:szCs w:val="30"/>
        </w:rPr>
      </w:pPr>
      <w:r>
        <w:rPr>
          <w:rFonts w:ascii="方正黑体_GBK" w:eastAsia="方正黑体_GBK" w:hAnsi="华文细黑" w:hint="eastAsia"/>
          <w:snapToGrid w:val="0"/>
          <w:sz w:val="30"/>
          <w:szCs w:val="30"/>
        </w:rPr>
        <w:t>三、预防接种服务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/>
          <w:snapToGrid w:val="0"/>
          <w:sz w:val="30"/>
          <w:szCs w:val="30"/>
        </w:rPr>
        <w:lastRenderedPageBreak/>
        <w:t>1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</w:t>
      </w:r>
      <w:r>
        <w:rPr>
          <w:rFonts w:ascii="方正仿宋_GBK" w:eastAsia="方正仿宋_GBK" w:hAnsi="华文细黑"/>
          <w:snapToGrid w:val="0"/>
          <w:sz w:val="30"/>
          <w:szCs w:val="30"/>
        </w:rPr>
        <w:t>人员要求：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日常专职预防接种工作人员不少于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5人。门诊日现场需有全流程引导员。开诊时，开诊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接种台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不少于5个，至少需要有12名预防接种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工作</w:t>
      </w:r>
      <w:r>
        <w:rPr>
          <w:rFonts w:ascii="方正仿宋_GBK" w:eastAsia="方正仿宋_GBK" w:hAnsi="华文细黑"/>
          <w:snapToGrid w:val="0"/>
          <w:sz w:val="30"/>
          <w:szCs w:val="30"/>
        </w:rPr>
        <w:t>人员，其中：2名健康询问人员、2名登记人员、1名留观和疑似异常反应处置医师，1名全流程巡查责任人，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1名</w:t>
      </w:r>
      <w:r>
        <w:rPr>
          <w:rFonts w:ascii="方正仿宋_GBK" w:eastAsia="方正仿宋_GBK" w:hAnsi="华文细黑"/>
          <w:snapToGrid w:val="0"/>
          <w:sz w:val="30"/>
          <w:szCs w:val="30"/>
        </w:rPr>
        <w:t>疫苗冷链管理专职人员，每个开诊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接种台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各1名接种人员。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 w:hint="eastAsia"/>
          <w:snapToGrid w:val="0"/>
          <w:sz w:val="30"/>
          <w:szCs w:val="30"/>
        </w:rPr>
        <w:t>门诊</w:t>
      </w:r>
      <w:r>
        <w:rPr>
          <w:rFonts w:ascii="方正仿宋_GBK" w:eastAsia="方正仿宋_GBK" w:hAnsi="华文细黑"/>
          <w:snapToGrid w:val="0"/>
          <w:sz w:val="30"/>
          <w:szCs w:val="30"/>
        </w:rPr>
        <w:t>应推选至少5名培训教师，包括3名预防接种操作技能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（兼信息化操作技能）</w:t>
      </w:r>
      <w:r>
        <w:rPr>
          <w:rFonts w:ascii="方正仿宋_GBK" w:eastAsia="方正仿宋_GBK" w:hAnsi="华文细黑"/>
          <w:snapToGrid w:val="0"/>
          <w:sz w:val="30"/>
          <w:szCs w:val="30"/>
        </w:rPr>
        <w:t>带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教老师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和2名急救带教老师。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带</w:t>
      </w:r>
      <w:proofErr w:type="gramStart"/>
      <w:r>
        <w:rPr>
          <w:rFonts w:ascii="方正仿宋_GBK" w:eastAsia="方正仿宋_GBK" w:hAnsi="华文细黑" w:hint="eastAsia"/>
          <w:snapToGrid w:val="0"/>
          <w:sz w:val="30"/>
          <w:szCs w:val="30"/>
        </w:rPr>
        <w:t>教老师</w:t>
      </w:r>
      <w:proofErr w:type="gramEnd"/>
      <w:r>
        <w:rPr>
          <w:rFonts w:ascii="方正仿宋_GBK" w:eastAsia="方正仿宋_GBK" w:hAnsi="华文细黑" w:hint="eastAsia"/>
          <w:snapToGrid w:val="0"/>
          <w:sz w:val="30"/>
          <w:szCs w:val="30"/>
        </w:rPr>
        <w:t>应具有中级以上专业技术职称，持有预防接种上岗证并连续工作不少于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3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年。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/>
          <w:snapToGrid w:val="0"/>
          <w:sz w:val="30"/>
          <w:szCs w:val="30"/>
        </w:rPr>
        <w:t>2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、开诊</w:t>
      </w:r>
      <w:r>
        <w:rPr>
          <w:rFonts w:ascii="方正仿宋_GBK" w:eastAsia="方正仿宋_GBK" w:hAnsi="华文细黑"/>
          <w:snapToGrid w:val="0"/>
          <w:sz w:val="30"/>
          <w:szCs w:val="30"/>
        </w:rPr>
        <w:t>时间：实行日门诊制度，每周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开诊</w:t>
      </w:r>
      <w:r>
        <w:rPr>
          <w:rFonts w:ascii="方正仿宋_GBK" w:eastAsia="方正仿宋_GBK" w:hAnsi="华文细黑"/>
          <w:snapToGrid w:val="0"/>
          <w:sz w:val="30"/>
          <w:szCs w:val="30"/>
        </w:rPr>
        <w:t>天数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不少于</w:t>
      </w:r>
      <w:r>
        <w:rPr>
          <w:rFonts w:ascii="方正仿宋_GBK" w:eastAsia="方正仿宋_GBK" w:hAnsi="华文细黑"/>
          <w:snapToGrid w:val="0"/>
          <w:sz w:val="30"/>
          <w:szCs w:val="30"/>
        </w:rPr>
        <w:t>5天，其中有一天安排在周六或者周日。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/>
          <w:snapToGrid w:val="0"/>
          <w:sz w:val="30"/>
          <w:szCs w:val="30"/>
        </w:rPr>
        <w:t>3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</w:t>
      </w:r>
      <w:r>
        <w:rPr>
          <w:rFonts w:ascii="方正仿宋_GBK" w:eastAsia="方正仿宋_GBK" w:hAnsi="华文细黑"/>
          <w:snapToGrid w:val="0"/>
          <w:sz w:val="30"/>
          <w:szCs w:val="30"/>
        </w:rPr>
        <w:t>接种要求：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免疫规划疫苗</w:t>
      </w:r>
      <w:r>
        <w:rPr>
          <w:rFonts w:ascii="方正仿宋_GBK" w:eastAsia="方正仿宋_GBK" w:hAnsi="华文细黑"/>
          <w:snapToGrid w:val="0"/>
          <w:sz w:val="30"/>
          <w:szCs w:val="30"/>
        </w:rPr>
        <w:t>和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非免疫规划</w:t>
      </w:r>
      <w:r>
        <w:rPr>
          <w:rFonts w:ascii="方正仿宋_GBK" w:eastAsia="方正仿宋_GBK" w:hAnsi="华文细黑"/>
          <w:snapToGrid w:val="0"/>
          <w:sz w:val="30"/>
          <w:szCs w:val="30"/>
        </w:rPr>
        <w:t>疫苗做到分台接种，每个</w:t>
      </w:r>
      <w:proofErr w:type="gramStart"/>
      <w:r>
        <w:rPr>
          <w:rFonts w:ascii="方正仿宋_GBK" w:eastAsia="方正仿宋_GBK" w:hAnsi="华文细黑"/>
          <w:snapToGrid w:val="0"/>
          <w:sz w:val="30"/>
          <w:szCs w:val="30"/>
        </w:rPr>
        <w:t>接种台</w:t>
      </w:r>
      <w:proofErr w:type="gramEnd"/>
      <w:r>
        <w:rPr>
          <w:rFonts w:ascii="方正仿宋_GBK" w:eastAsia="方正仿宋_GBK" w:hAnsi="华文细黑"/>
          <w:snapToGrid w:val="0"/>
          <w:sz w:val="30"/>
          <w:szCs w:val="30"/>
        </w:rPr>
        <w:t>每名接种人员接种疫苗品种不得超过4种。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/>
          <w:snapToGrid w:val="0"/>
          <w:sz w:val="30"/>
          <w:szCs w:val="30"/>
        </w:rPr>
        <w:t>4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</w:t>
      </w:r>
      <w:r>
        <w:rPr>
          <w:rFonts w:ascii="方正仿宋_GBK" w:eastAsia="方正仿宋_GBK" w:hAnsi="华文细黑"/>
          <w:snapToGrid w:val="0"/>
          <w:sz w:val="30"/>
          <w:szCs w:val="30"/>
        </w:rPr>
        <w:t>能提供文明、礼貌、主动、热情、周到的服务。做到微笑服务、高效服务、文明服务、有问必答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，</w:t>
      </w:r>
      <w:r>
        <w:rPr>
          <w:rFonts w:ascii="方正仿宋_GBK" w:eastAsia="方正仿宋_GBK" w:hAnsi="华文细黑"/>
          <w:snapToGrid w:val="0"/>
          <w:sz w:val="30"/>
          <w:szCs w:val="30"/>
        </w:rPr>
        <w:t>服务满意度达95%以上。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有条件的门诊可通过</w:t>
      </w:r>
      <w:proofErr w:type="gramStart"/>
      <w:r>
        <w:rPr>
          <w:rFonts w:ascii="方正仿宋_GBK" w:eastAsia="方正仿宋_GBK" w:hAnsi="华文细黑" w:hint="eastAsia"/>
          <w:snapToGrid w:val="0"/>
          <w:sz w:val="30"/>
          <w:szCs w:val="30"/>
        </w:rPr>
        <w:t>微信公众号</w:t>
      </w:r>
      <w:proofErr w:type="gramEnd"/>
      <w:r>
        <w:rPr>
          <w:rFonts w:ascii="方正仿宋_GBK" w:eastAsia="方正仿宋_GBK" w:hAnsi="华文细黑" w:hint="eastAsia"/>
          <w:snapToGrid w:val="0"/>
          <w:sz w:val="30"/>
          <w:szCs w:val="30"/>
        </w:rPr>
        <w:t>等实行门诊分时段全预约制</w:t>
      </w:r>
      <w:r>
        <w:rPr>
          <w:rFonts w:ascii="方正仿宋_GBK" w:eastAsia="方正仿宋_GBK" w:hAnsi="华文细黑"/>
          <w:snapToGrid w:val="0"/>
          <w:sz w:val="30"/>
          <w:szCs w:val="30"/>
        </w:rPr>
        <w:t>。</w:t>
      </w:r>
    </w:p>
    <w:p w:rsidR="00131703" w:rsidRDefault="00131703" w:rsidP="00131703">
      <w:pPr>
        <w:adjustRightInd w:val="0"/>
        <w:snapToGrid w:val="0"/>
        <w:spacing w:line="560" w:lineRule="exact"/>
        <w:ind w:firstLineChars="200" w:firstLine="600"/>
        <w:rPr>
          <w:rFonts w:ascii="方正仿宋_GBK" w:eastAsia="方正仿宋_GBK" w:hAnsi="华文细黑"/>
          <w:snapToGrid w:val="0"/>
          <w:sz w:val="30"/>
          <w:szCs w:val="30"/>
        </w:rPr>
      </w:pPr>
      <w:r>
        <w:rPr>
          <w:rFonts w:ascii="方正仿宋_GBK" w:eastAsia="方正仿宋_GBK" w:hAnsi="华文细黑"/>
          <w:snapToGrid w:val="0"/>
          <w:sz w:val="30"/>
          <w:szCs w:val="30"/>
        </w:rPr>
        <w:t>5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、完成免疫规划相关工作，免疫规划疫苗接种率≥</w:t>
      </w:r>
      <w:r>
        <w:rPr>
          <w:rFonts w:ascii="方正仿宋_GBK" w:eastAsia="方正仿宋_GBK" w:hAnsi="华文细黑"/>
          <w:snapToGrid w:val="0"/>
          <w:sz w:val="30"/>
          <w:szCs w:val="30"/>
        </w:rPr>
        <w:t>95%</w:t>
      </w:r>
      <w:r>
        <w:rPr>
          <w:rFonts w:ascii="方正仿宋_GBK" w:eastAsia="方正仿宋_GBK" w:hAnsi="华文细黑" w:hint="eastAsia"/>
          <w:snapToGrid w:val="0"/>
          <w:sz w:val="30"/>
          <w:szCs w:val="30"/>
        </w:rPr>
        <w:t>；</w:t>
      </w:r>
      <w:r>
        <w:rPr>
          <w:rFonts w:ascii="方正仿宋_GBK" w:eastAsia="方正仿宋_GBK" w:hAnsi="华文细黑"/>
          <w:snapToGrid w:val="0"/>
          <w:sz w:val="30"/>
          <w:szCs w:val="30"/>
        </w:rPr>
        <w:t>能保证责任服务区域内非免疫规划疫苗的接种服务。</w:t>
      </w:r>
    </w:p>
    <w:p w:rsidR="00536728" w:rsidRPr="00131703" w:rsidRDefault="00536728"/>
    <w:sectPr w:rsidR="00536728" w:rsidRPr="00131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703"/>
    <w:rsid w:val="00131703"/>
    <w:rsid w:val="00536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7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131703"/>
    <w:pPr>
      <w:keepNext/>
      <w:keepLines/>
      <w:spacing w:before="340" w:after="330" w:line="578" w:lineRule="auto"/>
      <w:outlineLvl w:val="0"/>
    </w:pPr>
    <w:rPr>
      <w:rFonts w:asciiTheme="minorHAnsi" w:eastAsiaTheme="minorEastAsia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qFormat/>
    <w:rsid w:val="00131703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7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131703"/>
    <w:pPr>
      <w:keepNext/>
      <w:keepLines/>
      <w:spacing w:before="340" w:after="330" w:line="578" w:lineRule="auto"/>
      <w:outlineLvl w:val="0"/>
    </w:pPr>
    <w:rPr>
      <w:rFonts w:asciiTheme="minorHAnsi" w:eastAsiaTheme="minorEastAsia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qFormat/>
    <w:rsid w:val="00131703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209</Words>
  <Characters>1192</Characters>
  <Application>Microsoft Office Word</Application>
  <DocSecurity>0</DocSecurity>
  <Lines>9</Lines>
  <Paragraphs>2</Paragraphs>
  <ScaleCrop>false</ScaleCrop>
  <Company>china</Company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2020-08-10T01:56:00Z</dcterms:created>
  <dcterms:modified xsi:type="dcterms:W3CDTF">2020-08-10T01:57:00Z</dcterms:modified>
</cp:coreProperties>
</file>